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1AE" w:rsidRDefault="004B01AE" w:rsidP="004B01AE">
      <w:pPr>
        <w:spacing w:line="480" w:lineRule="auto"/>
        <w:jc w:val="center"/>
        <w:rPr>
          <w:rFonts w:ascii="Arial" w:hAnsi="Arial" w:cs="Arial"/>
          <w:b/>
          <w:sz w:val="24"/>
          <w:szCs w:val="24"/>
        </w:rPr>
      </w:pPr>
    </w:p>
    <w:p w:rsidR="004B01AE" w:rsidRDefault="004B01AE" w:rsidP="004B01AE">
      <w:pPr>
        <w:spacing w:line="480" w:lineRule="auto"/>
        <w:jc w:val="center"/>
        <w:rPr>
          <w:rFonts w:ascii="Arial" w:hAnsi="Arial" w:cs="Arial"/>
          <w:b/>
          <w:sz w:val="24"/>
          <w:szCs w:val="24"/>
        </w:rPr>
      </w:pPr>
    </w:p>
    <w:p w:rsidR="004B01AE" w:rsidRDefault="004B01AE" w:rsidP="004B01AE">
      <w:pPr>
        <w:spacing w:line="480" w:lineRule="auto"/>
        <w:jc w:val="center"/>
        <w:rPr>
          <w:rFonts w:ascii="Arial" w:hAnsi="Arial" w:cs="Arial"/>
          <w:b/>
          <w:sz w:val="24"/>
          <w:szCs w:val="24"/>
        </w:rPr>
      </w:pPr>
      <w:r w:rsidRPr="004B01AE">
        <w:rPr>
          <w:rFonts w:ascii="Arial" w:hAnsi="Arial" w:cs="Arial"/>
          <w:b/>
          <w:sz w:val="24"/>
          <w:szCs w:val="24"/>
        </w:rPr>
        <w:t xml:space="preserve">Standing Male Worshiper Ca. 2900-2600 B.C </w:t>
      </w:r>
    </w:p>
    <w:p w:rsidR="004B01AE" w:rsidRDefault="004B01AE" w:rsidP="004B01AE">
      <w:pPr>
        <w:spacing w:line="480" w:lineRule="auto"/>
        <w:jc w:val="center"/>
        <w:rPr>
          <w:rFonts w:ascii="Arial" w:hAnsi="Arial" w:cs="Arial"/>
          <w:b/>
          <w:sz w:val="24"/>
          <w:szCs w:val="24"/>
        </w:rPr>
      </w:pPr>
    </w:p>
    <w:p w:rsidR="004B01AE" w:rsidRDefault="004B01AE" w:rsidP="004B01AE">
      <w:pPr>
        <w:spacing w:line="480" w:lineRule="auto"/>
        <w:jc w:val="center"/>
        <w:rPr>
          <w:rFonts w:ascii="Arial" w:hAnsi="Arial" w:cs="Arial"/>
          <w:b/>
          <w:sz w:val="24"/>
          <w:szCs w:val="24"/>
        </w:rPr>
      </w:pPr>
    </w:p>
    <w:p w:rsidR="004B01AE" w:rsidRDefault="004B01AE" w:rsidP="004B01AE">
      <w:pPr>
        <w:spacing w:line="480" w:lineRule="auto"/>
        <w:jc w:val="center"/>
        <w:rPr>
          <w:rFonts w:ascii="Arial" w:hAnsi="Arial" w:cs="Arial"/>
          <w:b/>
          <w:sz w:val="24"/>
          <w:szCs w:val="24"/>
        </w:rPr>
      </w:pPr>
    </w:p>
    <w:p w:rsidR="004B01AE" w:rsidRDefault="004B01AE" w:rsidP="004B01AE">
      <w:pPr>
        <w:spacing w:line="480" w:lineRule="auto"/>
        <w:jc w:val="center"/>
        <w:rPr>
          <w:rFonts w:ascii="Arial" w:hAnsi="Arial" w:cs="Arial"/>
          <w:b/>
          <w:sz w:val="24"/>
          <w:szCs w:val="24"/>
        </w:rPr>
      </w:pPr>
    </w:p>
    <w:p w:rsidR="004B01AE" w:rsidRDefault="004B01AE" w:rsidP="004B01AE">
      <w:pPr>
        <w:spacing w:line="480" w:lineRule="auto"/>
        <w:jc w:val="center"/>
        <w:rPr>
          <w:rFonts w:ascii="Arial" w:hAnsi="Arial" w:cs="Arial"/>
          <w:b/>
          <w:sz w:val="24"/>
          <w:szCs w:val="24"/>
        </w:rPr>
      </w:pPr>
    </w:p>
    <w:p w:rsidR="004B01AE" w:rsidRDefault="004B01AE" w:rsidP="004B01AE">
      <w:pPr>
        <w:spacing w:line="480" w:lineRule="auto"/>
        <w:jc w:val="center"/>
        <w:rPr>
          <w:rFonts w:ascii="Arial" w:hAnsi="Arial" w:cs="Arial"/>
          <w:b/>
          <w:sz w:val="24"/>
          <w:szCs w:val="24"/>
        </w:rPr>
      </w:pPr>
    </w:p>
    <w:p w:rsidR="004B01AE" w:rsidRDefault="004B01AE" w:rsidP="004B01AE">
      <w:pPr>
        <w:spacing w:line="480" w:lineRule="auto"/>
        <w:jc w:val="center"/>
        <w:rPr>
          <w:rFonts w:ascii="Arial" w:hAnsi="Arial" w:cs="Arial"/>
          <w:b/>
          <w:sz w:val="24"/>
          <w:szCs w:val="24"/>
        </w:rPr>
      </w:pPr>
    </w:p>
    <w:p w:rsidR="004B01AE" w:rsidRDefault="004B01AE" w:rsidP="004B01AE">
      <w:pPr>
        <w:spacing w:line="480" w:lineRule="auto"/>
        <w:jc w:val="center"/>
        <w:rPr>
          <w:rFonts w:ascii="Arial" w:hAnsi="Arial" w:cs="Arial"/>
          <w:b/>
          <w:sz w:val="24"/>
          <w:szCs w:val="24"/>
        </w:rPr>
      </w:pPr>
    </w:p>
    <w:p w:rsidR="004B01AE" w:rsidRPr="004B01AE" w:rsidRDefault="004B01AE" w:rsidP="004B01AE">
      <w:pPr>
        <w:spacing w:line="480" w:lineRule="auto"/>
        <w:jc w:val="center"/>
        <w:rPr>
          <w:rFonts w:ascii="Arial" w:hAnsi="Arial" w:cs="Arial"/>
          <w:b/>
          <w:sz w:val="24"/>
          <w:szCs w:val="24"/>
        </w:rPr>
      </w:pPr>
      <w:r w:rsidRPr="004B01AE">
        <w:rPr>
          <w:rFonts w:ascii="Arial" w:hAnsi="Arial" w:cs="Arial"/>
          <w:b/>
          <w:sz w:val="24"/>
          <w:szCs w:val="24"/>
        </w:rPr>
        <w:t>Name</w:t>
      </w:r>
    </w:p>
    <w:p w:rsidR="004B01AE" w:rsidRPr="004B01AE" w:rsidRDefault="004B01AE" w:rsidP="004B01AE">
      <w:pPr>
        <w:spacing w:line="480" w:lineRule="auto"/>
        <w:jc w:val="center"/>
        <w:rPr>
          <w:rFonts w:ascii="Arial" w:hAnsi="Arial" w:cs="Arial"/>
          <w:b/>
          <w:sz w:val="24"/>
          <w:szCs w:val="24"/>
        </w:rPr>
      </w:pPr>
      <w:r w:rsidRPr="004B01AE">
        <w:rPr>
          <w:rFonts w:ascii="Arial" w:hAnsi="Arial" w:cs="Arial"/>
          <w:b/>
          <w:sz w:val="24"/>
          <w:szCs w:val="24"/>
        </w:rPr>
        <w:t>Institution affiliation</w:t>
      </w:r>
    </w:p>
    <w:p w:rsidR="004B01AE" w:rsidRPr="004B01AE" w:rsidRDefault="004B01AE" w:rsidP="004B01AE">
      <w:pPr>
        <w:spacing w:line="480" w:lineRule="auto"/>
        <w:jc w:val="center"/>
        <w:rPr>
          <w:rFonts w:ascii="Arial" w:hAnsi="Arial" w:cs="Arial"/>
          <w:b/>
          <w:sz w:val="24"/>
          <w:szCs w:val="24"/>
        </w:rPr>
      </w:pPr>
      <w:r w:rsidRPr="004B01AE">
        <w:rPr>
          <w:rFonts w:ascii="Arial" w:hAnsi="Arial" w:cs="Arial"/>
          <w:b/>
          <w:sz w:val="24"/>
          <w:szCs w:val="24"/>
        </w:rPr>
        <w:t>Course name</w:t>
      </w:r>
    </w:p>
    <w:p w:rsidR="004B01AE" w:rsidRPr="004B01AE" w:rsidRDefault="004B01AE" w:rsidP="004B01AE">
      <w:pPr>
        <w:spacing w:line="480" w:lineRule="auto"/>
        <w:jc w:val="center"/>
        <w:rPr>
          <w:rFonts w:ascii="Arial" w:hAnsi="Arial" w:cs="Arial"/>
          <w:b/>
          <w:sz w:val="24"/>
          <w:szCs w:val="24"/>
        </w:rPr>
      </w:pPr>
      <w:r w:rsidRPr="004B01AE">
        <w:rPr>
          <w:rFonts w:ascii="Arial" w:hAnsi="Arial" w:cs="Arial"/>
          <w:b/>
          <w:sz w:val="24"/>
          <w:szCs w:val="24"/>
        </w:rPr>
        <w:t>Instructor</w:t>
      </w:r>
    </w:p>
    <w:p w:rsidR="004B01AE" w:rsidRPr="004B01AE" w:rsidRDefault="004B01AE" w:rsidP="004B01AE">
      <w:pPr>
        <w:spacing w:line="480" w:lineRule="auto"/>
        <w:jc w:val="center"/>
        <w:rPr>
          <w:rFonts w:ascii="Arial" w:hAnsi="Arial" w:cs="Arial"/>
          <w:b/>
          <w:sz w:val="24"/>
          <w:szCs w:val="24"/>
        </w:rPr>
      </w:pPr>
      <w:r w:rsidRPr="004B01AE">
        <w:rPr>
          <w:rFonts w:ascii="Arial" w:hAnsi="Arial" w:cs="Arial"/>
          <w:b/>
          <w:sz w:val="24"/>
          <w:szCs w:val="24"/>
        </w:rPr>
        <w:t>Date</w:t>
      </w:r>
    </w:p>
    <w:p w:rsidR="004B01AE" w:rsidRDefault="004B01AE" w:rsidP="004B01AE">
      <w:pPr>
        <w:spacing w:line="480" w:lineRule="auto"/>
        <w:rPr>
          <w:rFonts w:ascii="Arial" w:hAnsi="Arial" w:cs="Arial"/>
          <w:b/>
          <w:sz w:val="24"/>
          <w:szCs w:val="24"/>
        </w:rPr>
      </w:pPr>
    </w:p>
    <w:p w:rsidR="004B01AE" w:rsidRDefault="004B01AE" w:rsidP="004B01AE">
      <w:pPr>
        <w:spacing w:line="480" w:lineRule="auto"/>
        <w:rPr>
          <w:rFonts w:ascii="Arial" w:hAnsi="Arial" w:cs="Arial"/>
          <w:b/>
          <w:sz w:val="24"/>
          <w:szCs w:val="24"/>
        </w:rPr>
      </w:pPr>
    </w:p>
    <w:p w:rsidR="00DC0918" w:rsidRPr="00EE57BA" w:rsidRDefault="00EE1C0F" w:rsidP="00EE57BA">
      <w:pPr>
        <w:spacing w:line="480" w:lineRule="auto"/>
        <w:ind w:left="1440" w:firstLine="720"/>
        <w:rPr>
          <w:rFonts w:ascii="Arial" w:hAnsi="Arial" w:cs="Arial"/>
          <w:b/>
          <w:sz w:val="24"/>
          <w:szCs w:val="24"/>
        </w:rPr>
      </w:pPr>
      <w:r w:rsidRPr="00EE57BA">
        <w:rPr>
          <w:rFonts w:ascii="Arial" w:hAnsi="Arial" w:cs="Arial"/>
          <w:b/>
          <w:sz w:val="24"/>
          <w:szCs w:val="24"/>
        </w:rPr>
        <w:lastRenderedPageBreak/>
        <w:t xml:space="preserve">Standing Male Worshiper </w:t>
      </w:r>
      <w:r w:rsidR="00EE57BA" w:rsidRPr="00EE57BA">
        <w:rPr>
          <w:rFonts w:ascii="Arial" w:hAnsi="Arial" w:cs="Arial"/>
          <w:b/>
          <w:sz w:val="24"/>
          <w:szCs w:val="24"/>
        </w:rPr>
        <w:t xml:space="preserve">Ca. 2900-2600 </w:t>
      </w:r>
      <w:r w:rsidRPr="00EE57BA">
        <w:rPr>
          <w:rFonts w:ascii="Arial" w:hAnsi="Arial" w:cs="Arial"/>
          <w:b/>
          <w:sz w:val="24"/>
          <w:szCs w:val="24"/>
        </w:rPr>
        <w:t>B</w:t>
      </w:r>
      <w:r w:rsidR="00EE57BA" w:rsidRPr="00EE57BA">
        <w:rPr>
          <w:rFonts w:ascii="Arial" w:hAnsi="Arial" w:cs="Arial"/>
          <w:b/>
          <w:sz w:val="24"/>
          <w:szCs w:val="24"/>
        </w:rPr>
        <w:t>.</w:t>
      </w:r>
      <w:r w:rsidRPr="00EE57BA">
        <w:rPr>
          <w:rFonts w:ascii="Arial" w:hAnsi="Arial" w:cs="Arial"/>
          <w:b/>
          <w:sz w:val="24"/>
          <w:szCs w:val="24"/>
        </w:rPr>
        <w:t xml:space="preserve">C </w:t>
      </w:r>
    </w:p>
    <w:p w:rsidR="009420C7" w:rsidRPr="00EE57BA" w:rsidRDefault="004F79B0" w:rsidP="00EE57BA">
      <w:pPr>
        <w:spacing w:line="480" w:lineRule="auto"/>
        <w:ind w:firstLine="720"/>
        <w:rPr>
          <w:rFonts w:ascii="Arial" w:hAnsi="Arial" w:cs="Arial"/>
          <w:sz w:val="24"/>
          <w:szCs w:val="24"/>
        </w:rPr>
      </w:pPr>
      <w:r w:rsidRPr="00EE57BA">
        <w:rPr>
          <w:rFonts w:ascii="Arial" w:hAnsi="Arial" w:cs="Arial"/>
          <w:sz w:val="24"/>
          <w:szCs w:val="24"/>
        </w:rPr>
        <w:t xml:space="preserve">The standing male worshiper </w:t>
      </w:r>
      <w:r w:rsidR="00EF45D9" w:rsidRPr="00EE57BA">
        <w:rPr>
          <w:rFonts w:ascii="Arial" w:hAnsi="Arial" w:cs="Arial"/>
          <w:sz w:val="24"/>
          <w:szCs w:val="24"/>
        </w:rPr>
        <w:t>status represent</w:t>
      </w:r>
      <w:r w:rsidR="00AF74E5">
        <w:rPr>
          <w:rFonts w:ascii="Arial" w:hAnsi="Arial" w:cs="Arial"/>
          <w:sz w:val="24"/>
          <w:szCs w:val="24"/>
        </w:rPr>
        <w:t>s</w:t>
      </w:r>
      <w:r w:rsidR="00EF45D9" w:rsidRPr="00EE57BA">
        <w:rPr>
          <w:rFonts w:ascii="Arial" w:hAnsi="Arial" w:cs="Arial"/>
          <w:sz w:val="24"/>
          <w:szCs w:val="24"/>
        </w:rPr>
        <w:t xml:space="preserve"> a male worshiper </w:t>
      </w:r>
      <w:r w:rsidR="00694D96" w:rsidRPr="00EE57BA">
        <w:rPr>
          <w:rFonts w:ascii="Arial" w:hAnsi="Arial" w:cs="Arial"/>
          <w:sz w:val="24"/>
          <w:szCs w:val="24"/>
        </w:rPr>
        <w:t>who existed in Mesopotamia around 2700BCE. Families and people who lived in M</w:t>
      </w:r>
      <w:r w:rsidR="00593DED" w:rsidRPr="00EE57BA">
        <w:rPr>
          <w:rFonts w:ascii="Arial" w:hAnsi="Arial" w:cs="Arial"/>
          <w:sz w:val="24"/>
          <w:szCs w:val="24"/>
        </w:rPr>
        <w:t>esopotamia</w:t>
      </w:r>
      <w:r w:rsidR="0013433F" w:rsidRPr="00EE57BA">
        <w:rPr>
          <w:rFonts w:ascii="Arial" w:hAnsi="Arial" w:cs="Arial"/>
          <w:sz w:val="24"/>
          <w:szCs w:val="24"/>
        </w:rPr>
        <w:t xml:space="preserve"> and modern Tell Asmar</w:t>
      </w:r>
      <w:r w:rsidR="00593DED" w:rsidRPr="00EE57BA">
        <w:rPr>
          <w:rFonts w:ascii="Arial" w:hAnsi="Arial" w:cs="Arial"/>
          <w:sz w:val="24"/>
          <w:szCs w:val="24"/>
        </w:rPr>
        <w:t xml:space="preserve"> during the Early Dynasti</w:t>
      </w:r>
      <w:r w:rsidR="004F186E" w:rsidRPr="00EE57BA">
        <w:rPr>
          <w:rFonts w:ascii="Arial" w:hAnsi="Arial" w:cs="Arial"/>
          <w:sz w:val="24"/>
          <w:szCs w:val="24"/>
        </w:rPr>
        <w:t>c Period made male worshippers. The status creators purpos</w:t>
      </w:r>
      <w:r w:rsidR="005A47AF" w:rsidRPr="00EE57BA">
        <w:rPr>
          <w:rFonts w:ascii="Arial" w:hAnsi="Arial" w:cs="Arial"/>
          <w:sz w:val="24"/>
          <w:szCs w:val="24"/>
        </w:rPr>
        <w:t>ed to place them in the temples. They were to serve as constant worshippers of the Mesopotamian gods</w:t>
      </w:r>
      <w:r w:rsidR="004B01AE">
        <w:rPr>
          <w:rStyle w:val="FootnoteReference"/>
          <w:rFonts w:ascii="Arial" w:hAnsi="Arial" w:cs="Arial"/>
          <w:sz w:val="24"/>
          <w:szCs w:val="24"/>
        </w:rPr>
        <w:footnoteReference w:id="1"/>
      </w:r>
      <w:r w:rsidR="005A47AF" w:rsidRPr="00EE57BA">
        <w:rPr>
          <w:rFonts w:ascii="Arial" w:hAnsi="Arial" w:cs="Arial"/>
          <w:sz w:val="24"/>
          <w:szCs w:val="24"/>
        </w:rPr>
        <w:t xml:space="preserve">. </w:t>
      </w:r>
      <w:r w:rsidR="00094CD6" w:rsidRPr="00EE57BA">
        <w:rPr>
          <w:rFonts w:ascii="Arial" w:hAnsi="Arial" w:cs="Arial"/>
          <w:sz w:val="24"/>
          <w:szCs w:val="24"/>
        </w:rPr>
        <w:t xml:space="preserve">The people believed that each status had a special place </w:t>
      </w:r>
      <w:r w:rsidR="00AF74E5">
        <w:rPr>
          <w:rFonts w:ascii="Arial" w:hAnsi="Arial" w:cs="Arial"/>
          <w:sz w:val="24"/>
          <w:szCs w:val="24"/>
        </w:rPr>
        <w:t>for</w:t>
      </w:r>
      <w:r w:rsidR="00094CD6" w:rsidRPr="00EE57BA">
        <w:rPr>
          <w:rFonts w:ascii="Arial" w:hAnsi="Arial" w:cs="Arial"/>
          <w:sz w:val="24"/>
          <w:szCs w:val="24"/>
        </w:rPr>
        <w:t xml:space="preserve"> their owners at all time</w:t>
      </w:r>
      <w:r w:rsidR="00AF74E5">
        <w:rPr>
          <w:rFonts w:ascii="Arial" w:hAnsi="Arial" w:cs="Arial"/>
          <w:sz w:val="24"/>
          <w:szCs w:val="24"/>
        </w:rPr>
        <w:t>s</w:t>
      </w:r>
      <w:r w:rsidR="00094CD6" w:rsidRPr="00EE57BA">
        <w:rPr>
          <w:rFonts w:ascii="Arial" w:hAnsi="Arial" w:cs="Arial"/>
          <w:sz w:val="24"/>
          <w:szCs w:val="24"/>
        </w:rPr>
        <w:t xml:space="preserve">. </w:t>
      </w:r>
      <w:r w:rsidR="00D21AA1" w:rsidRPr="00EE57BA">
        <w:rPr>
          <w:rFonts w:ascii="Arial" w:hAnsi="Arial" w:cs="Arial"/>
          <w:sz w:val="24"/>
          <w:szCs w:val="24"/>
        </w:rPr>
        <w:t>T</w:t>
      </w:r>
      <w:r w:rsidR="00BF0CF5" w:rsidRPr="00EE57BA">
        <w:rPr>
          <w:rFonts w:ascii="Arial" w:hAnsi="Arial" w:cs="Arial"/>
          <w:sz w:val="24"/>
          <w:szCs w:val="24"/>
        </w:rPr>
        <w:t xml:space="preserve">he people or families involved </w:t>
      </w:r>
      <w:r w:rsidR="00AF74E5">
        <w:rPr>
          <w:rFonts w:ascii="Arial" w:hAnsi="Arial" w:cs="Arial"/>
          <w:sz w:val="24"/>
          <w:szCs w:val="24"/>
        </w:rPr>
        <w:t>i</w:t>
      </w:r>
      <w:r w:rsidR="00BF0CF5" w:rsidRPr="00EE57BA">
        <w:rPr>
          <w:rFonts w:ascii="Arial" w:hAnsi="Arial" w:cs="Arial"/>
          <w:sz w:val="24"/>
          <w:szCs w:val="24"/>
        </w:rPr>
        <w:t xml:space="preserve">n creating the status and placing them in the temples permanently placed themselves in the presence of their gods. They were to </w:t>
      </w:r>
      <w:r w:rsidR="00AF74E5">
        <w:rPr>
          <w:rFonts w:ascii="Arial" w:hAnsi="Arial" w:cs="Arial"/>
          <w:sz w:val="24"/>
          <w:szCs w:val="24"/>
        </w:rPr>
        <w:t>worship the gods without ceasing constantly</w:t>
      </w:r>
      <w:r w:rsidR="00BF0CF5" w:rsidRPr="00EE57BA">
        <w:rPr>
          <w:rFonts w:ascii="Arial" w:hAnsi="Arial" w:cs="Arial"/>
          <w:sz w:val="24"/>
          <w:szCs w:val="24"/>
        </w:rPr>
        <w:t>.</w:t>
      </w:r>
      <w:r w:rsidR="00A86CEF" w:rsidRPr="00EE57BA">
        <w:rPr>
          <w:rFonts w:ascii="Arial" w:hAnsi="Arial" w:cs="Arial"/>
          <w:sz w:val="24"/>
          <w:szCs w:val="24"/>
        </w:rPr>
        <w:t xml:space="preserve"> They are believed to pray perpetually for </w:t>
      </w:r>
      <w:r w:rsidR="00AF74E5">
        <w:rPr>
          <w:rFonts w:ascii="Arial" w:hAnsi="Arial" w:cs="Arial"/>
          <w:sz w:val="24"/>
          <w:szCs w:val="24"/>
        </w:rPr>
        <w:t xml:space="preserve">the </w:t>
      </w:r>
      <w:r w:rsidR="00A86CEF" w:rsidRPr="00EE57BA">
        <w:rPr>
          <w:rFonts w:ascii="Arial" w:hAnsi="Arial" w:cs="Arial"/>
          <w:sz w:val="24"/>
          <w:szCs w:val="24"/>
        </w:rPr>
        <w:t xml:space="preserve">people whom they represent. </w:t>
      </w:r>
      <w:r w:rsidR="00901FE8" w:rsidRPr="00EE57BA">
        <w:rPr>
          <w:rFonts w:ascii="Arial" w:hAnsi="Arial" w:cs="Arial"/>
          <w:sz w:val="24"/>
          <w:szCs w:val="24"/>
        </w:rPr>
        <w:t xml:space="preserve">According to historians, the status is historically unique since it is </w:t>
      </w:r>
      <w:r w:rsidR="006D7AF3" w:rsidRPr="00EE57BA">
        <w:rPr>
          <w:rFonts w:ascii="Arial" w:hAnsi="Arial" w:cs="Arial"/>
          <w:sz w:val="24"/>
          <w:szCs w:val="24"/>
        </w:rPr>
        <w:t xml:space="preserve">believed to be among the few exclusive examples of the </w:t>
      </w:r>
      <w:r w:rsidR="001E0D93" w:rsidRPr="00EE57BA">
        <w:rPr>
          <w:rFonts w:ascii="Arial" w:hAnsi="Arial" w:cs="Arial"/>
          <w:sz w:val="24"/>
          <w:szCs w:val="24"/>
        </w:rPr>
        <w:t>intellectual</w:t>
      </w:r>
      <w:r w:rsidR="006D7AF3" w:rsidRPr="00EE57BA">
        <w:rPr>
          <w:rFonts w:ascii="Arial" w:hAnsi="Arial" w:cs="Arial"/>
          <w:sz w:val="24"/>
          <w:szCs w:val="24"/>
        </w:rPr>
        <w:t xml:space="preserve"> style</w:t>
      </w:r>
      <w:r w:rsidR="001E0D93" w:rsidRPr="00EE57BA">
        <w:rPr>
          <w:rFonts w:ascii="Arial" w:hAnsi="Arial" w:cs="Arial"/>
          <w:sz w:val="24"/>
          <w:szCs w:val="24"/>
        </w:rPr>
        <w:t xml:space="preserve"> used to design status during the Early Dynastic temple sculpture.</w:t>
      </w:r>
      <w:r w:rsidR="00BF0CF5" w:rsidRPr="00EE57BA">
        <w:rPr>
          <w:rFonts w:ascii="Arial" w:hAnsi="Arial" w:cs="Arial"/>
          <w:sz w:val="24"/>
          <w:szCs w:val="24"/>
        </w:rPr>
        <w:t xml:space="preserve"> </w:t>
      </w:r>
      <w:r w:rsidR="0013433F" w:rsidRPr="00EE57BA">
        <w:rPr>
          <w:rFonts w:ascii="Arial" w:hAnsi="Arial" w:cs="Arial"/>
          <w:sz w:val="24"/>
          <w:szCs w:val="24"/>
        </w:rPr>
        <w:t xml:space="preserve">The male worshiper </w:t>
      </w:r>
      <w:r w:rsidR="00AD1E4C" w:rsidRPr="00EE57BA">
        <w:rPr>
          <w:rFonts w:ascii="Arial" w:hAnsi="Arial" w:cs="Arial"/>
          <w:sz w:val="24"/>
          <w:szCs w:val="24"/>
        </w:rPr>
        <w:t xml:space="preserve">status </w:t>
      </w:r>
      <w:r w:rsidR="001E0D93" w:rsidRPr="00EE57BA">
        <w:rPr>
          <w:rFonts w:ascii="Arial" w:hAnsi="Arial" w:cs="Arial"/>
          <w:sz w:val="24"/>
          <w:szCs w:val="24"/>
        </w:rPr>
        <w:t>is</w:t>
      </w:r>
      <w:r w:rsidR="00AD1E4C" w:rsidRPr="00EE57BA">
        <w:rPr>
          <w:rFonts w:ascii="Arial" w:hAnsi="Arial" w:cs="Arial"/>
          <w:sz w:val="24"/>
          <w:szCs w:val="24"/>
        </w:rPr>
        <w:t xml:space="preserve"> now located in the Metropolitan Museum of Art (MET)</w:t>
      </w:r>
      <w:r w:rsidR="004B01AE">
        <w:rPr>
          <w:rStyle w:val="FootnoteReference"/>
          <w:rFonts w:ascii="Arial" w:hAnsi="Arial" w:cs="Arial"/>
          <w:sz w:val="24"/>
          <w:szCs w:val="24"/>
        </w:rPr>
        <w:footnoteReference w:id="2"/>
      </w:r>
      <w:r w:rsidR="00AD1E4C" w:rsidRPr="00EE57BA">
        <w:rPr>
          <w:rFonts w:ascii="Arial" w:hAnsi="Arial" w:cs="Arial"/>
          <w:sz w:val="24"/>
          <w:szCs w:val="24"/>
        </w:rPr>
        <w:t xml:space="preserve">. </w:t>
      </w:r>
      <w:r w:rsidR="00530478" w:rsidRPr="00EE57BA">
        <w:rPr>
          <w:rFonts w:ascii="Arial" w:hAnsi="Arial" w:cs="Arial"/>
          <w:sz w:val="24"/>
          <w:szCs w:val="24"/>
        </w:rPr>
        <w:t xml:space="preserve">The standing Male worshiper is made from gypsum alabaster. It has clasped hands and </w:t>
      </w:r>
      <w:r w:rsidR="00AF74E5">
        <w:rPr>
          <w:rFonts w:ascii="Arial" w:hAnsi="Arial" w:cs="Arial"/>
          <w:sz w:val="24"/>
          <w:szCs w:val="24"/>
        </w:rPr>
        <w:t xml:space="preserve">a </w:t>
      </w:r>
      <w:r w:rsidR="00530478" w:rsidRPr="00EE57BA">
        <w:rPr>
          <w:rFonts w:ascii="Arial" w:hAnsi="Arial" w:cs="Arial"/>
          <w:sz w:val="24"/>
          <w:szCs w:val="24"/>
        </w:rPr>
        <w:t xml:space="preserve">wide-eyed gaze. </w:t>
      </w:r>
      <w:r w:rsidR="001D50EC" w:rsidRPr="00EE57BA">
        <w:rPr>
          <w:rFonts w:ascii="Arial" w:hAnsi="Arial" w:cs="Arial"/>
          <w:sz w:val="24"/>
          <w:szCs w:val="24"/>
        </w:rPr>
        <w:t xml:space="preserve">People living in Mesopotamia believed that gods were supposed to be in physical form. </w:t>
      </w:r>
      <w:r w:rsidR="00082B74" w:rsidRPr="00EE57BA">
        <w:rPr>
          <w:rFonts w:ascii="Arial" w:hAnsi="Arial" w:cs="Arial"/>
          <w:sz w:val="24"/>
          <w:szCs w:val="24"/>
        </w:rPr>
        <w:t>Their physical form, made of materials</w:t>
      </w:r>
      <w:r w:rsidR="00AF74E5">
        <w:rPr>
          <w:rFonts w:ascii="Arial" w:hAnsi="Arial" w:cs="Arial"/>
          <w:sz w:val="24"/>
          <w:szCs w:val="24"/>
        </w:rPr>
        <w:t>,</w:t>
      </w:r>
      <w:r w:rsidR="00082B74" w:rsidRPr="00EE57BA">
        <w:rPr>
          <w:rFonts w:ascii="Arial" w:hAnsi="Arial" w:cs="Arial"/>
          <w:sz w:val="24"/>
          <w:szCs w:val="24"/>
        </w:rPr>
        <w:t xml:space="preserve"> gave them </w:t>
      </w:r>
      <w:r w:rsidR="00343EF7" w:rsidRPr="00EE57BA">
        <w:rPr>
          <w:rFonts w:ascii="Arial" w:hAnsi="Arial" w:cs="Arial"/>
          <w:sz w:val="24"/>
          <w:szCs w:val="24"/>
        </w:rPr>
        <w:t>a</w:t>
      </w:r>
      <w:r w:rsidR="00082B74" w:rsidRPr="00EE57BA">
        <w:rPr>
          <w:rFonts w:ascii="Arial" w:hAnsi="Arial" w:cs="Arial"/>
          <w:sz w:val="24"/>
          <w:szCs w:val="24"/>
        </w:rPr>
        <w:t xml:space="preserve"> real experience of what the people were going through and could help them manage their situations properly. </w:t>
      </w:r>
      <w:r w:rsidR="00D21AA1" w:rsidRPr="00EE57BA">
        <w:rPr>
          <w:rFonts w:ascii="Arial" w:hAnsi="Arial" w:cs="Arial"/>
          <w:sz w:val="24"/>
          <w:szCs w:val="24"/>
        </w:rPr>
        <w:t>Also, there w</w:t>
      </w:r>
      <w:r w:rsidR="00AF74E5">
        <w:rPr>
          <w:rFonts w:ascii="Arial" w:hAnsi="Arial" w:cs="Arial"/>
          <w:sz w:val="24"/>
          <w:szCs w:val="24"/>
        </w:rPr>
        <w:t>as</w:t>
      </w:r>
      <w:r w:rsidR="00D21AA1" w:rsidRPr="00EE57BA">
        <w:rPr>
          <w:rFonts w:ascii="Arial" w:hAnsi="Arial" w:cs="Arial"/>
          <w:sz w:val="24"/>
          <w:szCs w:val="24"/>
        </w:rPr>
        <w:t xml:space="preserve"> similar status designed and inscribed with great and prominent families and rulers of the time. </w:t>
      </w:r>
    </w:p>
    <w:p w:rsidR="004B01AE" w:rsidRDefault="00B23983" w:rsidP="004B01AE">
      <w:pPr>
        <w:spacing w:line="480" w:lineRule="auto"/>
        <w:ind w:firstLine="720"/>
        <w:rPr>
          <w:rFonts w:ascii="Arial" w:hAnsi="Arial" w:cs="Arial"/>
          <w:sz w:val="24"/>
          <w:szCs w:val="24"/>
        </w:rPr>
      </w:pPr>
      <w:r w:rsidRPr="00EE57BA">
        <w:rPr>
          <w:rFonts w:ascii="Arial" w:hAnsi="Arial" w:cs="Arial"/>
          <w:sz w:val="24"/>
          <w:szCs w:val="24"/>
        </w:rPr>
        <w:lastRenderedPageBreak/>
        <w:t>The statue was measured to have heights</w:t>
      </w:r>
      <w:r w:rsidR="00664356" w:rsidRPr="00EE57BA">
        <w:rPr>
          <w:rFonts w:ascii="Arial" w:hAnsi="Arial" w:cs="Arial"/>
          <w:sz w:val="24"/>
          <w:szCs w:val="24"/>
        </w:rPr>
        <w:t xml:space="preserve"> ranging from 21cm to 72 cm. It depicted a man with wide eyes, clasped hands in front of him, and long facial hair.</w:t>
      </w:r>
      <w:r w:rsidR="00500844" w:rsidRPr="00EE57BA">
        <w:rPr>
          <w:rFonts w:ascii="Arial" w:hAnsi="Arial" w:cs="Arial"/>
          <w:sz w:val="24"/>
          <w:szCs w:val="24"/>
        </w:rPr>
        <w:t xml:space="preserve"> The statues had broad and thick shoulders, </w:t>
      </w:r>
      <w:r w:rsidR="0024667C" w:rsidRPr="00EE57BA">
        <w:rPr>
          <w:rFonts w:ascii="Arial" w:hAnsi="Arial" w:cs="Arial"/>
          <w:sz w:val="24"/>
          <w:szCs w:val="24"/>
        </w:rPr>
        <w:t xml:space="preserve">with circular arms on </w:t>
      </w:r>
      <w:r w:rsidR="00AB47F1" w:rsidRPr="00EE57BA">
        <w:rPr>
          <w:rFonts w:ascii="Arial" w:hAnsi="Arial" w:cs="Arial"/>
          <w:sz w:val="24"/>
          <w:szCs w:val="24"/>
        </w:rPr>
        <w:t>the bare chest.</w:t>
      </w:r>
      <w:r w:rsidR="00664356" w:rsidRPr="00EE57BA">
        <w:rPr>
          <w:rFonts w:ascii="Arial" w:hAnsi="Arial" w:cs="Arial"/>
          <w:sz w:val="24"/>
          <w:szCs w:val="24"/>
        </w:rPr>
        <w:t xml:space="preserve"> The </w:t>
      </w:r>
      <w:r w:rsidR="00B67B9F" w:rsidRPr="00EE57BA">
        <w:rPr>
          <w:rFonts w:ascii="Arial" w:hAnsi="Arial" w:cs="Arial"/>
          <w:sz w:val="24"/>
          <w:szCs w:val="24"/>
        </w:rPr>
        <w:t xml:space="preserve">designer of the </w:t>
      </w:r>
      <w:r w:rsidR="00664356" w:rsidRPr="00EE57BA">
        <w:rPr>
          <w:rFonts w:ascii="Arial" w:hAnsi="Arial" w:cs="Arial"/>
          <w:sz w:val="24"/>
          <w:szCs w:val="24"/>
        </w:rPr>
        <w:t xml:space="preserve">male worshiper statues </w:t>
      </w:r>
      <w:r w:rsidR="00B67B9F" w:rsidRPr="00EE57BA">
        <w:rPr>
          <w:rFonts w:ascii="Arial" w:hAnsi="Arial" w:cs="Arial"/>
          <w:sz w:val="24"/>
          <w:szCs w:val="24"/>
        </w:rPr>
        <w:t>used shells, limestone, and gypsum.</w:t>
      </w:r>
      <w:r w:rsidR="00AD5260" w:rsidRPr="00EE57BA">
        <w:rPr>
          <w:rFonts w:ascii="Arial" w:hAnsi="Arial" w:cs="Arial"/>
          <w:sz w:val="24"/>
          <w:szCs w:val="24"/>
        </w:rPr>
        <w:t xml:space="preserve"> </w:t>
      </w:r>
      <w:r w:rsidR="00EB75B6" w:rsidRPr="00EE57BA">
        <w:rPr>
          <w:rFonts w:ascii="Arial" w:hAnsi="Arial" w:cs="Arial"/>
          <w:sz w:val="24"/>
          <w:szCs w:val="24"/>
        </w:rPr>
        <w:t>According to Frankfort, the hoard discovered underneath the temples had unnaturally large eyes resembling those of an eagle</w:t>
      </w:r>
      <w:r w:rsidR="004B01AE">
        <w:rPr>
          <w:rStyle w:val="FootnoteReference"/>
          <w:rFonts w:ascii="Arial" w:hAnsi="Arial" w:cs="Arial"/>
          <w:sz w:val="24"/>
          <w:szCs w:val="24"/>
        </w:rPr>
        <w:footnoteReference w:id="3"/>
      </w:r>
      <w:r w:rsidR="00EB75B6" w:rsidRPr="00EE57BA">
        <w:rPr>
          <w:rFonts w:ascii="Arial" w:hAnsi="Arial" w:cs="Arial"/>
          <w:sz w:val="24"/>
          <w:szCs w:val="24"/>
        </w:rPr>
        <w:t>. The eyes were extraordinary</w:t>
      </w:r>
      <w:r w:rsidR="00AF74E5">
        <w:rPr>
          <w:rFonts w:ascii="Arial" w:hAnsi="Arial" w:cs="Arial"/>
          <w:sz w:val="24"/>
          <w:szCs w:val="24"/>
        </w:rPr>
        <w:t>,</w:t>
      </w:r>
      <w:r w:rsidR="00EB75B6" w:rsidRPr="00EE57BA">
        <w:rPr>
          <w:rFonts w:ascii="Arial" w:hAnsi="Arial" w:cs="Arial"/>
          <w:sz w:val="24"/>
          <w:szCs w:val="24"/>
        </w:rPr>
        <w:t xml:space="preserve"> symbolizing that they are forever open in prayers and always worshiping their gods. Another </w:t>
      </w:r>
      <w:r w:rsidR="00AF74E5">
        <w:rPr>
          <w:rFonts w:ascii="Arial" w:hAnsi="Arial" w:cs="Arial"/>
          <w:sz w:val="24"/>
          <w:szCs w:val="24"/>
        </w:rPr>
        <w:t>exci</w:t>
      </w:r>
      <w:r w:rsidR="00EB75B6" w:rsidRPr="00EE57BA">
        <w:rPr>
          <w:rFonts w:ascii="Arial" w:hAnsi="Arial" w:cs="Arial"/>
          <w:sz w:val="24"/>
          <w:szCs w:val="24"/>
        </w:rPr>
        <w:t xml:space="preserve">ting feature about the statues is that they have a nose and mouth that </w:t>
      </w:r>
      <w:r w:rsidR="00AF74E5">
        <w:rPr>
          <w:rFonts w:ascii="Arial" w:hAnsi="Arial" w:cs="Arial"/>
          <w:sz w:val="24"/>
          <w:szCs w:val="24"/>
        </w:rPr>
        <w:t>are</w:t>
      </w:r>
      <w:r w:rsidR="00EB75B6" w:rsidRPr="00EE57BA">
        <w:rPr>
          <w:rFonts w:ascii="Arial" w:hAnsi="Arial" w:cs="Arial"/>
          <w:sz w:val="24"/>
          <w:szCs w:val="24"/>
        </w:rPr>
        <w:t xml:space="preserve"> geometrically shaped. The nose is perfectly shaped triangularly</w:t>
      </w:r>
      <w:r w:rsidR="00AF74E5">
        <w:rPr>
          <w:rFonts w:ascii="Arial" w:hAnsi="Arial" w:cs="Arial"/>
          <w:sz w:val="24"/>
          <w:szCs w:val="24"/>
        </w:rPr>
        <w:t>,</w:t>
      </w:r>
      <w:r w:rsidR="00EB75B6" w:rsidRPr="00EE57BA">
        <w:rPr>
          <w:rFonts w:ascii="Arial" w:hAnsi="Arial" w:cs="Arial"/>
          <w:sz w:val="24"/>
          <w:szCs w:val="24"/>
        </w:rPr>
        <w:t xml:space="preserve"> with a mouth containing two horizontal rectangles. The long hair and beard ma</w:t>
      </w:r>
      <w:r w:rsidR="00AF74E5">
        <w:rPr>
          <w:rFonts w:ascii="Arial" w:hAnsi="Arial" w:cs="Arial"/>
          <w:sz w:val="24"/>
          <w:szCs w:val="24"/>
        </w:rPr>
        <w:t>d</w:t>
      </w:r>
      <w:r w:rsidR="00EB75B6" w:rsidRPr="00EE57BA">
        <w:rPr>
          <w:rFonts w:ascii="Arial" w:hAnsi="Arial" w:cs="Arial"/>
          <w:sz w:val="24"/>
          <w:szCs w:val="24"/>
        </w:rPr>
        <w:t>e it impossible to see the neck of the statues and had a round face. Looking at the upper arms, they are thicker than the lower arms. The statues had small hands with thin fingers visible in the front below the beard and clasped in</w:t>
      </w:r>
      <w:r w:rsidR="00AF74E5">
        <w:rPr>
          <w:rFonts w:ascii="Arial" w:hAnsi="Arial" w:cs="Arial"/>
          <w:sz w:val="24"/>
          <w:szCs w:val="24"/>
        </w:rPr>
        <w:t xml:space="preserve"> the</w:t>
      </w:r>
      <w:r w:rsidR="00EB75B6" w:rsidRPr="00EE57BA">
        <w:rPr>
          <w:rFonts w:ascii="Arial" w:hAnsi="Arial" w:cs="Arial"/>
          <w:sz w:val="24"/>
          <w:szCs w:val="24"/>
        </w:rPr>
        <w:t xml:space="preserve"> form of praying</w:t>
      </w:r>
      <w:r w:rsidR="00D04B30">
        <w:rPr>
          <w:rStyle w:val="FootnoteReference"/>
          <w:rFonts w:ascii="Arial" w:hAnsi="Arial" w:cs="Arial"/>
          <w:sz w:val="24"/>
          <w:szCs w:val="24"/>
        </w:rPr>
        <w:footnoteReference w:id="4"/>
      </w:r>
      <w:r w:rsidR="00EB75B6" w:rsidRPr="00EE57BA">
        <w:rPr>
          <w:rFonts w:ascii="Arial" w:hAnsi="Arial" w:cs="Arial"/>
          <w:sz w:val="24"/>
          <w:szCs w:val="24"/>
        </w:rPr>
        <w:t>. However, the rest of the body is below the arms shaped in</w:t>
      </w:r>
      <w:r w:rsidR="00AF74E5">
        <w:rPr>
          <w:rFonts w:ascii="Arial" w:hAnsi="Arial" w:cs="Arial"/>
          <w:sz w:val="24"/>
          <w:szCs w:val="24"/>
        </w:rPr>
        <w:t xml:space="preserve"> the</w:t>
      </w:r>
      <w:r w:rsidR="00EB75B6" w:rsidRPr="00EE57BA">
        <w:rPr>
          <w:rFonts w:ascii="Arial" w:hAnsi="Arial" w:cs="Arial"/>
          <w:sz w:val="24"/>
          <w:szCs w:val="24"/>
        </w:rPr>
        <w:t xml:space="preserve"> form of a cylinder. It is evidence of the dress or custom of the people in the region. Checking keenly at the lower section of the body, the first half is smooth</w:t>
      </w:r>
      <w:r w:rsidR="00AF74E5">
        <w:rPr>
          <w:rFonts w:ascii="Arial" w:hAnsi="Arial" w:cs="Arial"/>
          <w:sz w:val="24"/>
          <w:szCs w:val="24"/>
        </w:rPr>
        <w:t>,</w:t>
      </w:r>
      <w:r w:rsidR="00EB75B6" w:rsidRPr="00EE57BA">
        <w:rPr>
          <w:rFonts w:ascii="Arial" w:hAnsi="Arial" w:cs="Arial"/>
          <w:sz w:val="24"/>
          <w:szCs w:val="24"/>
        </w:rPr>
        <w:t xml:space="preserve"> but the rest of the section to the bottom has vertical lines that meet </w:t>
      </w:r>
      <w:r w:rsidR="00AF74E5">
        <w:rPr>
          <w:rFonts w:ascii="Arial" w:hAnsi="Arial" w:cs="Arial"/>
          <w:sz w:val="24"/>
          <w:szCs w:val="24"/>
        </w:rPr>
        <w:t>at</w:t>
      </w:r>
      <w:r w:rsidR="00EB75B6" w:rsidRPr="00EE57BA">
        <w:rPr>
          <w:rFonts w:ascii="Arial" w:hAnsi="Arial" w:cs="Arial"/>
          <w:sz w:val="24"/>
          <w:szCs w:val="24"/>
        </w:rPr>
        <w:t xml:space="preserve"> a sharp point.  </w:t>
      </w:r>
    </w:p>
    <w:p w:rsidR="003E54C0" w:rsidRDefault="00B67B9F" w:rsidP="00EE57BA">
      <w:pPr>
        <w:spacing w:line="480" w:lineRule="auto"/>
        <w:ind w:firstLine="720"/>
        <w:rPr>
          <w:rFonts w:ascii="Arial" w:hAnsi="Arial" w:cs="Arial"/>
          <w:sz w:val="24"/>
          <w:szCs w:val="24"/>
        </w:rPr>
      </w:pPr>
      <w:r w:rsidRPr="00EE57BA">
        <w:rPr>
          <w:rFonts w:ascii="Arial" w:hAnsi="Arial" w:cs="Arial"/>
          <w:sz w:val="24"/>
          <w:szCs w:val="24"/>
        </w:rPr>
        <w:t xml:space="preserve">In some instances, metal would be used to make the statues where necessary. </w:t>
      </w:r>
      <w:r w:rsidR="006C593D" w:rsidRPr="00EE57BA">
        <w:rPr>
          <w:rFonts w:ascii="Arial" w:hAnsi="Arial" w:cs="Arial"/>
          <w:sz w:val="24"/>
          <w:szCs w:val="24"/>
        </w:rPr>
        <w:t>According to early archeologists, Mesopotamians coul</w:t>
      </w:r>
      <w:r w:rsidR="00CB695A" w:rsidRPr="00EE57BA">
        <w:rPr>
          <w:rFonts w:ascii="Arial" w:hAnsi="Arial" w:cs="Arial"/>
          <w:sz w:val="24"/>
          <w:szCs w:val="24"/>
        </w:rPr>
        <w:t>d use metal to carve the stones and shaping the beards, eyes, and statues</w:t>
      </w:r>
      <w:r w:rsidR="00AF74E5">
        <w:rPr>
          <w:rFonts w:ascii="Arial" w:hAnsi="Arial" w:cs="Arial"/>
          <w:sz w:val="24"/>
          <w:szCs w:val="24"/>
        </w:rPr>
        <w:t>'</w:t>
      </w:r>
      <w:r w:rsidR="00CB695A" w:rsidRPr="00EE57BA">
        <w:rPr>
          <w:rFonts w:ascii="Arial" w:hAnsi="Arial" w:cs="Arial"/>
          <w:sz w:val="24"/>
          <w:szCs w:val="24"/>
        </w:rPr>
        <w:t xml:space="preserve"> face</w:t>
      </w:r>
      <w:r w:rsidR="00AF74E5">
        <w:rPr>
          <w:rFonts w:ascii="Arial" w:hAnsi="Arial" w:cs="Arial"/>
          <w:sz w:val="24"/>
          <w:szCs w:val="24"/>
        </w:rPr>
        <w:t>s</w:t>
      </w:r>
      <w:r w:rsidR="00CB695A" w:rsidRPr="00EE57BA">
        <w:rPr>
          <w:rFonts w:ascii="Arial" w:hAnsi="Arial" w:cs="Arial"/>
          <w:sz w:val="24"/>
          <w:szCs w:val="24"/>
        </w:rPr>
        <w:t xml:space="preserve">. </w:t>
      </w:r>
      <w:r w:rsidR="00AF74E5">
        <w:rPr>
          <w:rFonts w:ascii="Arial" w:hAnsi="Arial" w:cs="Arial"/>
          <w:sz w:val="24"/>
          <w:szCs w:val="24"/>
        </w:rPr>
        <w:t>The u</w:t>
      </w:r>
      <w:r w:rsidR="00CB695A" w:rsidRPr="00EE57BA">
        <w:rPr>
          <w:rFonts w:ascii="Arial" w:hAnsi="Arial" w:cs="Arial"/>
          <w:sz w:val="24"/>
          <w:szCs w:val="24"/>
        </w:rPr>
        <w:t xml:space="preserve">se of metals shows that Mesopotamians </w:t>
      </w:r>
      <w:r w:rsidR="0064330A" w:rsidRPr="00EE57BA">
        <w:rPr>
          <w:rFonts w:ascii="Arial" w:hAnsi="Arial" w:cs="Arial"/>
          <w:sz w:val="24"/>
          <w:szCs w:val="24"/>
        </w:rPr>
        <w:t xml:space="preserve">civilization standards had highly improved and advanced. </w:t>
      </w:r>
      <w:r w:rsidR="002C30A9" w:rsidRPr="00EE57BA">
        <w:rPr>
          <w:rFonts w:ascii="Arial" w:hAnsi="Arial" w:cs="Arial"/>
          <w:sz w:val="24"/>
          <w:szCs w:val="24"/>
        </w:rPr>
        <w:lastRenderedPageBreak/>
        <w:t xml:space="preserve">Nevertheless, the Mesopotamians could not major in using metal to make the statues since there were no ores in their land. They used to trade </w:t>
      </w:r>
      <w:r w:rsidR="00A16857" w:rsidRPr="00EE57BA">
        <w:rPr>
          <w:rFonts w:ascii="Arial" w:hAnsi="Arial" w:cs="Arial"/>
          <w:sz w:val="24"/>
          <w:szCs w:val="24"/>
        </w:rPr>
        <w:t>oil, textile among other commodities</w:t>
      </w:r>
      <w:r w:rsidR="00AF74E5">
        <w:rPr>
          <w:rFonts w:ascii="Arial" w:hAnsi="Arial" w:cs="Arial"/>
          <w:sz w:val="24"/>
          <w:szCs w:val="24"/>
        </w:rPr>
        <w:t>,</w:t>
      </w:r>
      <w:r w:rsidR="00A16857" w:rsidRPr="00EE57BA">
        <w:rPr>
          <w:rFonts w:ascii="Arial" w:hAnsi="Arial" w:cs="Arial"/>
          <w:sz w:val="24"/>
          <w:szCs w:val="24"/>
        </w:rPr>
        <w:t xml:space="preserve"> with their neighbors to acquire </w:t>
      </w:r>
      <w:r w:rsidR="00AF74E5">
        <w:rPr>
          <w:rFonts w:ascii="Arial" w:hAnsi="Arial" w:cs="Arial"/>
          <w:sz w:val="24"/>
          <w:szCs w:val="24"/>
        </w:rPr>
        <w:t xml:space="preserve">the </w:t>
      </w:r>
      <w:r w:rsidR="00A16857" w:rsidRPr="00EE57BA">
        <w:rPr>
          <w:rFonts w:ascii="Arial" w:hAnsi="Arial" w:cs="Arial"/>
          <w:sz w:val="24"/>
          <w:szCs w:val="24"/>
        </w:rPr>
        <w:t>metal. Mesopotamia had a great advantage from an open geographical landscape</w:t>
      </w:r>
      <w:r w:rsidR="00AF74E5">
        <w:rPr>
          <w:rFonts w:ascii="Arial" w:hAnsi="Arial" w:cs="Arial"/>
          <w:sz w:val="24"/>
          <w:szCs w:val="24"/>
        </w:rPr>
        <w:t>, which helped open its boundaries easing</w:t>
      </w:r>
      <w:r w:rsidR="00A16857" w:rsidRPr="00EE57BA">
        <w:rPr>
          <w:rFonts w:ascii="Arial" w:hAnsi="Arial" w:cs="Arial"/>
          <w:sz w:val="24"/>
          <w:szCs w:val="24"/>
        </w:rPr>
        <w:t xml:space="preserve"> trade, transport, and communication </w:t>
      </w:r>
      <w:r w:rsidR="00192F09" w:rsidRPr="00EE57BA">
        <w:rPr>
          <w:rFonts w:ascii="Arial" w:hAnsi="Arial" w:cs="Arial"/>
          <w:sz w:val="24"/>
          <w:szCs w:val="24"/>
        </w:rPr>
        <w:t xml:space="preserve">with neighboring cities. Mesopotamia led to </w:t>
      </w:r>
      <w:r w:rsidR="00AF74E5">
        <w:rPr>
          <w:rFonts w:ascii="Arial" w:hAnsi="Arial" w:cs="Arial"/>
          <w:sz w:val="24"/>
          <w:szCs w:val="24"/>
        </w:rPr>
        <w:t>the</w:t>
      </w:r>
      <w:r w:rsidR="00192F09" w:rsidRPr="00EE57BA">
        <w:rPr>
          <w:rFonts w:ascii="Arial" w:hAnsi="Arial" w:cs="Arial"/>
          <w:sz w:val="24"/>
          <w:szCs w:val="24"/>
        </w:rPr>
        <w:t xml:space="preserve"> introduction of trade routes </w:t>
      </w:r>
      <w:r w:rsidR="00AF74E5">
        <w:rPr>
          <w:rFonts w:ascii="Arial" w:hAnsi="Arial" w:cs="Arial"/>
          <w:sz w:val="24"/>
          <w:szCs w:val="24"/>
        </w:rPr>
        <w:t>that later served as a platform for development in any</w:t>
      </w:r>
      <w:r w:rsidR="00361CA8" w:rsidRPr="00EE57BA">
        <w:rPr>
          <w:rFonts w:ascii="Arial" w:hAnsi="Arial" w:cs="Arial"/>
          <w:sz w:val="24"/>
          <w:szCs w:val="24"/>
        </w:rPr>
        <w:t xml:space="preserve"> world. </w:t>
      </w:r>
    </w:p>
    <w:p w:rsidR="004B01AE" w:rsidRDefault="00D04B30" w:rsidP="00EE57BA">
      <w:pPr>
        <w:spacing w:line="480" w:lineRule="auto"/>
        <w:ind w:firstLine="720"/>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simplePos x="1371600" y="3467100"/>
            <wp:positionH relativeFrom="column">
              <wp:align>left</wp:align>
            </wp:positionH>
            <wp:positionV relativeFrom="paragraph">
              <wp:align>top</wp:align>
            </wp:positionV>
            <wp:extent cx="4124325" cy="49434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sopotamia_male_worshiper_2750-2600_B.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24325" cy="4943475"/>
                    </a:xfrm>
                    <a:prstGeom prst="rect">
                      <a:avLst/>
                    </a:prstGeom>
                  </pic:spPr>
                </pic:pic>
              </a:graphicData>
            </a:graphic>
          </wp:anchor>
        </w:drawing>
      </w:r>
      <w:r>
        <w:rPr>
          <w:rFonts w:ascii="Arial" w:hAnsi="Arial" w:cs="Arial"/>
          <w:sz w:val="24"/>
          <w:szCs w:val="24"/>
        </w:rPr>
        <w:br w:type="textWrapping" w:clear="all"/>
      </w:r>
      <w:hyperlink r:id="rId8" w:history="1">
        <w:r w:rsidRPr="009456FC">
          <w:rPr>
            <w:rStyle w:val="Hyperlink"/>
            <w:rFonts w:ascii="Arial" w:hAnsi="Arial" w:cs="Arial"/>
            <w:sz w:val="24"/>
            <w:szCs w:val="24"/>
          </w:rPr>
          <w:t>https://www.metmuseum.org/art/collection/search/323735</w:t>
        </w:r>
      </w:hyperlink>
    </w:p>
    <w:p w:rsidR="00D04B30" w:rsidRPr="00EE57BA" w:rsidRDefault="00D04B30" w:rsidP="00EE57BA">
      <w:pPr>
        <w:spacing w:line="480" w:lineRule="auto"/>
        <w:ind w:firstLine="720"/>
        <w:rPr>
          <w:rFonts w:ascii="Arial" w:hAnsi="Arial" w:cs="Arial"/>
          <w:sz w:val="24"/>
          <w:szCs w:val="24"/>
        </w:rPr>
      </w:pPr>
    </w:p>
    <w:p w:rsidR="001338D3" w:rsidRDefault="000479B4" w:rsidP="00EE57BA">
      <w:pPr>
        <w:spacing w:line="480" w:lineRule="auto"/>
        <w:ind w:firstLine="720"/>
        <w:rPr>
          <w:rFonts w:ascii="Arial" w:hAnsi="Arial" w:cs="Arial"/>
          <w:sz w:val="24"/>
          <w:szCs w:val="24"/>
        </w:rPr>
      </w:pPr>
      <w:r w:rsidRPr="00EE57BA">
        <w:rPr>
          <w:rFonts w:ascii="Arial" w:hAnsi="Arial" w:cs="Arial"/>
          <w:sz w:val="24"/>
          <w:szCs w:val="24"/>
        </w:rPr>
        <w:lastRenderedPageBreak/>
        <w:t xml:space="preserve">The first standing male worshipers were discovered in </w:t>
      </w:r>
      <w:r w:rsidR="00B5745E" w:rsidRPr="00EE57BA">
        <w:rPr>
          <w:rFonts w:ascii="Arial" w:hAnsi="Arial" w:cs="Arial"/>
          <w:sz w:val="24"/>
          <w:szCs w:val="24"/>
        </w:rPr>
        <w:t>1933 at Eshnunna</w:t>
      </w:r>
      <w:r w:rsidR="00AF74E5">
        <w:rPr>
          <w:rFonts w:ascii="Arial" w:hAnsi="Arial" w:cs="Arial"/>
          <w:sz w:val="24"/>
          <w:szCs w:val="24"/>
        </w:rPr>
        <w:t>,</w:t>
      </w:r>
      <w:r w:rsidR="00B5745E" w:rsidRPr="00EE57BA">
        <w:rPr>
          <w:rFonts w:ascii="Arial" w:hAnsi="Arial" w:cs="Arial"/>
          <w:sz w:val="24"/>
          <w:szCs w:val="24"/>
        </w:rPr>
        <w:t xml:space="preserve"> which is the modern Asmar. This is located in Diyala Governorate in Iraq. </w:t>
      </w:r>
      <w:r w:rsidR="004302FE" w:rsidRPr="00EE57BA">
        <w:rPr>
          <w:rFonts w:ascii="Arial" w:hAnsi="Arial" w:cs="Arial"/>
          <w:sz w:val="24"/>
          <w:szCs w:val="24"/>
        </w:rPr>
        <w:t>The discovery of the status in that site and other areas around the Mesopotamian area remain</w:t>
      </w:r>
      <w:r w:rsidR="00FE74CC" w:rsidRPr="00EE57BA">
        <w:rPr>
          <w:rFonts w:ascii="Arial" w:hAnsi="Arial" w:cs="Arial"/>
          <w:sz w:val="24"/>
          <w:szCs w:val="24"/>
        </w:rPr>
        <w:t>s</w:t>
      </w:r>
      <w:r w:rsidR="004302FE" w:rsidRPr="00EE57BA">
        <w:rPr>
          <w:rFonts w:ascii="Arial" w:hAnsi="Arial" w:cs="Arial"/>
          <w:sz w:val="24"/>
          <w:szCs w:val="24"/>
        </w:rPr>
        <w:t xml:space="preserve"> </w:t>
      </w:r>
      <w:r w:rsidR="00AF74E5">
        <w:rPr>
          <w:rFonts w:ascii="Arial" w:hAnsi="Arial" w:cs="Arial"/>
          <w:sz w:val="24"/>
          <w:szCs w:val="24"/>
        </w:rPr>
        <w:t xml:space="preserve">a </w:t>
      </w:r>
      <w:r w:rsidR="004302FE" w:rsidRPr="00EE57BA">
        <w:rPr>
          <w:rFonts w:ascii="Arial" w:hAnsi="Arial" w:cs="Arial"/>
          <w:sz w:val="24"/>
          <w:szCs w:val="24"/>
        </w:rPr>
        <w:t>unique</w:t>
      </w:r>
      <w:r w:rsidR="00FE74CC" w:rsidRPr="00EE57BA">
        <w:rPr>
          <w:rFonts w:ascii="Arial" w:hAnsi="Arial" w:cs="Arial"/>
          <w:sz w:val="24"/>
          <w:szCs w:val="24"/>
        </w:rPr>
        <w:t xml:space="preserve"> style of Early Dynastic temple sculpture. However, some ancient historians and archeologists</w:t>
      </w:r>
      <w:r w:rsidR="00C36390" w:rsidRPr="00EE57BA">
        <w:rPr>
          <w:rFonts w:ascii="Arial" w:hAnsi="Arial" w:cs="Arial"/>
          <w:sz w:val="24"/>
          <w:szCs w:val="24"/>
        </w:rPr>
        <w:t xml:space="preserve"> suggest that there were antique dealers in Baghdad who posse</w:t>
      </w:r>
      <w:r w:rsidR="0073015D" w:rsidRPr="00EE57BA">
        <w:rPr>
          <w:rFonts w:ascii="Arial" w:hAnsi="Arial" w:cs="Arial"/>
          <w:sz w:val="24"/>
          <w:szCs w:val="24"/>
        </w:rPr>
        <w:t>ssed large amounts of artifacts in the late 1920s</w:t>
      </w:r>
      <w:r w:rsidR="00D04B30">
        <w:rPr>
          <w:rStyle w:val="FootnoteReference"/>
          <w:rFonts w:ascii="Arial" w:hAnsi="Arial" w:cs="Arial"/>
          <w:sz w:val="24"/>
          <w:szCs w:val="24"/>
        </w:rPr>
        <w:footnoteReference w:id="5"/>
      </w:r>
      <w:r w:rsidR="0073015D" w:rsidRPr="00EE57BA">
        <w:rPr>
          <w:rFonts w:ascii="Arial" w:hAnsi="Arial" w:cs="Arial"/>
          <w:sz w:val="24"/>
          <w:szCs w:val="24"/>
        </w:rPr>
        <w:t xml:space="preserve">. </w:t>
      </w:r>
      <w:r w:rsidR="00AF74E5">
        <w:rPr>
          <w:rFonts w:ascii="Arial" w:hAnsi="Arial" w:cs="Arial"/>
          <w:sz w:val="24"/>
          <w:szCs w:val="24"/>
        </w:rPr>
        <w:t>B</w:t>
      </w:r>
      <w:r w:rsidR="00B824AB" w:rsidRPr="00EE57BA">
        <w:rPr>
          <w:rFonts w:ascii="Arial" w:hAnsi="Arial" w:cs="Arial"/>
          <w:sz w:val="24"/>
          <w:szCs w:val="24"/>
        </w:rPr>
        <w:t xml:space="preserve">etween </w:t>
      </w:r>
      <w:r w:rsidR="005451AE" w:rsidRPr="00EE57BA">
        <w:rPr>
          <w:rFonts w:ascii="Arial" w:hAnsi="Arial" w:cs="Arial"/>
          <w:sz w:val="24"/>
          <w:szCs w:val="24"/>
        </w:rPr>
        <w:t>1930 and 1937</w:t>
      </w:r>
      <w:r w:rsidR="00037188" w:rsidRPr="00EE57BA">
        <w:rPr>
          <w:rFonts w:ascii="Arial" w:hAnsi="Arial" w:cs="Arial"/>
          <w:sz w:val="24"/>
          <w:szCs w:val="24"/>
        </w:rPr>
        <w:t xml:space="preserve">, Frankfort was an archeologist who worked with a team that handled an extrusive horizontal and vertical </w:t>
      </w:r>
      <w:r w:rsidR="00B824AB" w:rsidRPr="00EE57BA">
        <w:rPr>
          <w:rFonts w:ascii="Arial" w:hAnsi="Arial" w:cs="Arial"/>
          <w:sz w:val="24"/>
          <w:szCs w:val="24"/>
        </w:rPr>
        <w:t>research program on four mounds in Iraq. These mounds included the Khafajah, Ishchali, Tell Agrab, and Tell Asmar</w:t>
      </w:r>
      <w:r w:rsidR="00AF74E5">
        <w:rPr>
          <w:rFonts w:ascii="Arial" w:hAnsi="Arial" w:cs="Arial"/>
          <w:sz w:val="24"/>
          <w:szCs w:val="24"/>
        </w:rPr>
        <w:t>,</w:t>
      </w:r>
      <w:r w:rsidR="00B824AB" w:rsidRPr="00EE57BA">
        <w:rPr>
          <w:rFonts w:ascii="Arial" w:hAnsi="Arial" w:cs="Arial"/>
          <w:sz w:val="24"/>
          <w:szCs w:val="24"/>
        </w:rPr>
        <w:t xml:space="preserve"> the ancient Eshnunna. Here, the team uncovered </w:t>
      </w:r>
      <w:r w:rsidR="00AF74E5">
        <w:rPr>
          <w:rFonts w:ascii="Arial" w:hAnsi="Arial" w:cs="Arial"/>
          <w:sz w:val="24"/>
          <w:szCs w:val="24"/>
        </w:rPr>
        <w:t>various temples, homes, administrative houses, and palaces that</w:t>
      </w:r>
      <w:r w:rsidR="004B72C7" w:rsidRPr="00EE57BA">
        <w:rPr>
          <w:rFonts w:ascii="Arial" w:hAnsi="Arial" w:cs="Arial"/>
          <w:sz w:val="24"/>
          <w:szCs w:val="24"/>
        </w:rPr>
        <w:t xml:space="preserve"> were believed to have existed between 3100 to 17500 B.C. </w:t>
      </w:r>
    </w:p>
    <w:p w:rsidR="00AF679C" w:rsidRDefault="004B72C7" w:rsidP="00EE57BA">
      <w:pPr>
        <w:spacing w:line="480" w:lineRule="auto"/>
        <w:ind w:firstLine="720"/>
        <w:rPr>
          <w:rFonts w:ascii="Arial" w:hAnsi="Arial" w:cs="Arial"/>
          <w:sz w:val="24"/>
          <w:szCs w:val="24"/>
        </w:rPr>
      </w:pPr>
      <w:r w:rsidRPr="00EE57BA">
        <w:rPr>
          <w:rFonts w:ascii="Arial" w:hAnsi="Arial" w:cs="Arial"/>
          <w:sz w:val="24"/>
          <w:szCs w:val="24"/>
        </w:rPr>
        <w:t xml:space="preserve">During their uncovering process, they managed to recover hundreds of artifacts from stratified ruins </w:t>
      </w:r>
      <w:r w:rsidR="002C3410" w:rsidRPr="00EE57BA">
        <w:rPr>
          <w:rFonts w:ascii="Arial" w:hAnsi="Arial" w:cs="Arial"/>
          <w:sz w:val="24"/>
          <w:szCs w:val="24"/>
        </w:rPr>
        <w:t xml:space="preserve">in </w:t>
      </w:r>
      <w:r w:rsidR="00AF74E5">
        <w:rPr>
          <w:rFonts w:ascii="Arial" w:hAnsi="Arial" w:cs="Arial"/>
          <w:sz w:val="24"/>
          <w:szCs w:val="24"/>
        </w:rPr>
        <w:t xml:space="preserve">a </w:t>
      </w:r>
      <w:r w:rsidR="002C3410" w:rsidRPr="00EE57BA">
        <w:rPr>
          <w:rFonts w:ascii="Arial" w:hAnsi="Arial" w:cs="Arial"/>
          <w:sz w:val="24"/>
          <w:szCs w:val="24"/>
        </w:rPr>
        <w:t>variety of these ancient civil structures. The artifacts helped to improve immensely the understanding and knowledge of th</w:t>
      </w:r>
      <w:r w:rsidR="00C732E5" w:rsidRPr="00EE57BA">
        <w:rPr>
          <w:rFonts w:ascii="Arial" w:hAnsi="Arial" w:cs="Arial"/>
          <w:sz w:val="24"/>
          <w:szCs w:val="24"/>
        </w:rPr>
        <w:t>e Early Dynastic periodization. Among the renowned recovered objects are the twelve statues best k</w:t>
      </w:r>
      <w:r w:rsidR="00EF2FDE" w:rsidRPr="00EE57BA">
        <w:rPr>
          <w:rFonts w:ascii="Arial" w:hAnsi="Arial" w:cs="Arial"/>
          <w:sz w:val="24"/>
          <w:szCs w:val="24"/>
        </w:rPr>
        <w:t>nown as the Tell Asmar Hoard. The Tell Asmar w</w:t>
      </w:r>
      <w:r w:rsidR="00AF74E5">
        <w:rPr>
          <w:rFonts w:ascii="Arial" w:hAnsi="Arial" w:cs="Arial"/>
          <w:sz w:val="24"/>
          <w:szCs w:val="24"/>
        </w:rPr>
        <w:t>as</w:t>
      </w:r>
      <w:r w:rsidR="00EF2FDE" w:rsidRPr="00EE57BA">
        <w:rPr>
          <w:rFonts w:ascii="Arial" w:hAnsi="Arial" w:cs="Arial"/>
          <w:sz w:val="24"/>
          <w:szCs w:val="24"/>
        </w:rPr>
        <w:t xml:space="preserve"> found beneath a temple</w:t>
      </w:r>
      <w:r w:rsidR="00AF74E5">
        <w:rPr>
          <w:rFonts w:ascii="Arial" w:hAnsi="Arial" w:cs="Arial"/>
          <w:sz w:val="24"/>
          <w:szCs w:val="24"/>
        </w:rPr>
        <w:t>'</w:t>
      </w:r>
      <w:r w:rsidR="00EF2FDE" w:rsidRPr="00EE57BA">
        <w:rPr>
          <w:rFonts w:ascii="Arial" w:hAnsi="Arial" w:cs="Arial"/>
          <w:sz w:val="24"/>
          <w:szCs w:val="24"/>
        </w:rPr>
        <w:t xml:space="preserve">s floor and was believed to have been dedicated to the god Abu. </w:t>
      </w:r>
      <w:r w:rsidR="00F44274" w:rsidRPr="00EE57BA">
        <w:rPr>
          <w:rFonts w:ascii="Arial" w:hAnsi="Arial" w:cs="Arial"/>
          <w:sz w:val="24"/>
          <w:szCs w:val="24"/>
        </w:rPr>
        <w:t xml:space="preserve">According </w:t>
      </w:r>
      <w:r w:rsidR="004C1BBB" w:rsidRPr="00EE57BA">
        <w:rPr>
          <w:rFonts w:ascii="Arial" w:hAnsi="Arial" w:cs="Arial"/>
          <w:sz w:val="24"/>
          <w:szCs w:val="24"/>
        </w:rPr>
        <w:t xml:space="preserve">to </w:t>
      </w:r>
      <w:r w:rsidR="00EE42CE" w:rsidRPr="00EE57BA">
        <w:rPr>
          <w:rFonts w:ascii="Arial" w:hAnsi="Arial" w:cs="Arial"/>
          <w:sz w:val="24"/>
          <w:szCs w:val="24"/>
        </w:rPr>
        <w:t>Frankfort and his team, the statues were well-preserved in a cavity located beside the temple</w:t>
      </w:r>
      <w:r w:rsidR="00AF74E5">
        <w:rPr>
          <w:rFonts w:ascii="Arial" w:hAnsi="Arial" w:cs="Arial"/>
          <w:sz w:val="24"/>
          <w:szCs w:val="24"/>
        </w:rPr>
        <w:t>'</w:t>
      </w:r>
      <w:r w:rsidR="00EE42CE" w:rsidRPr="00EE57BA">
        <w:rPr>
          <w:rFonts w:ascii="Arial" w:hAnsi="Arial" w:cs="Arial"/>
          <w:sz w:val="24"/>
          <w:szCs w:val="24"/>
        </w:rPr>
        <w:t>s altar in the sanctuary</w:t>
      </w:r>
      <w:r w:rsidR="00D04B30">
        <w:rPr>
          <w:rStyle w:val="FootnoteReference"/>
          <w:rFonts w:ascii="Arial" w:hAnsi="Arial" w:cs="Arial"/>
          <w:sz w:val="24"/>
          <w:szCs w:val="24"/>
        </w:rPr>
        <w:footnoteReference w:id="6"/>
      </w:r>
      <w:r w:rsidR="00EE42CE" w:rsidRPr="00EE57BA">
        <w:rPr>
          <w:rFonts w:ascii="Arial" w:hAnsi="Arial" w:cs="Arial"/>
          <w:sz w:val="24"/>
          <w:szCs w:val="24"/>
        </w:rPr>
        <w:t xml:space="preserve">. </w:t>
      </w:r>
      <w:r w:rsidR="00A501E4" w:rsidRPr="00EE57BA">
        <w:rPr>
          <w:rFonts w:ascii="Arial" w:hAnsi="Arial" w:cs="Arial"/>
          <w:sz w:val="24"/>
          <w:szCs w:val="24"/>
        </w:rPr>
        <w:t xml:space="preserve">The careful placement made them believe that the statues were buried intentionally. However, the reasons behind hiding the statues by burying them remain </w:t>
      </w:r>
      <w:r w:rsidR="00A501E4" w:rsidRPr="00EE57BA">
        <w:rPr>
          <w:rFonts w:ascii="Arial" w:hAnsi="Arial" w:cs="Arial"/>
          <w:sz w:val="24"/>
          <w:szCs w:val="24"/>
        </w:rPr>
        <w:lastRenderedPageBreak/>
        <w:t xml:space="preserve">unclear to date. </w:t>
      </w:r>
      <w:r w:rsidR="0043202F" w:rsidRPr="00EE57BA">
        <w:rPr>
          <w:rFonts w:ascii="Arial" w:hAnsi="Arial" w:cs="Arial"/>
          <w:sz w:val="24"/>
          <w:szCs w:val="24"/>
        </w:rPr>
        <w:t>Frankfort suggested that priests might have periodically buried the old and damaged statue</w:t>
      </w:r>
      <w:r w:rsidR="0093083C" w:rsidRPr="00EE57BA">
        <w:rPr>
          <w:rFonts w:ascii="Arial" w:hAnsi="Arial" w:cs="Arial"/>
          <w:sz w:val="24"/>
          <w:szCs w:val="24"/>
        </w:rPr>
        <w:t xml:space="preserve">s to create more room for replacements with new ones in the temple. </w:t>
      </w:r>
    </w:p>
    <w:p w:rsidR="00FB0104" w:rsidRPr="00EE57BA" w:rsidRDefault="00AF74E5" w:rsidP="00061572">
      <w:pPr>
        <w:spacing w:line="480" w:lineRule="auto"/>
        <w:ind w:firstLine="720"/>
        <w:rPr>
          <w:rFonts w:ascii="Arial" w:hAnsi="Arial" w:cs="Arial"/>
          <w:sz w:val="24"/>
          <w:szCs w:val="24"/>
        </w:rPr>
      </w:pPr>
      <w:r>
        <w:rPr>
          <w:rFonts w:ascii="Arial" w:hAnsi="Arial" w:cs="Arial"/>
          <w:sz w:val="24"/>
          <w:szCs w:val="24"/>
        </w:rPr>
        <w:t>When the Mesopotamian male worshiper statues were</w:t>
      </w:r>
      <w:r w:rsidR="00FB0104">
        <w:rPr>
          <w:rFonts w:ascii="Arial" w:hAnsi="Arial" w:cs="Arial"/>
          <w:sz w:val="24"/>
          <w:szCs w:val="24"/>
        </w:rPr>
        <w:t xml:space="preserve"> being introduced in the main Mesopotamia cities, </w:t>
      </w:r>
      <w:r w:rsidR="00F75AB0">
        <w:rPr>
          <w:rFonts w:ascii="Arial" w:hAnsi="Arial" w:cs="Arial"/>
          <w:sz w:val="24"/>
          <w:szCs w:val="24"/>
        </w:rPr>
        <w:t xml:space="preserve">the economic situation of the region was growing and blossoming. </w:t>
      </w:r>
      <w:r w:rsidR="00D563D0">
        <w:rPr>
          <w:rFonts w:ascii="Arial" w:hAnsi="Arial" w:cs="Arial"/>
          <w:sz w:val="24"/>
          <w:szCs w:val="24"/>
        </w:rPr>
        <w:t xml:space="preserve">The region was experiencing great growth through trade and irrigation as their main source of wealth. </w:t>
      </w:r>
      <w:r w:rsidR="00170215">
        <w:rPr>
          <w:rFonts w:ascii="Arial" w:hAnsi="Arial" w:cs="Arial"/>
          <w:sz w:val="24"/>
          <w:szCs w:val="24"/>
        </w:rPr>
        <w:t xml:space="preserve">Considering the </w:t>
      </w:r>
      <w:r>
        <w:rPr>
          <w:rFonts w:ascii="Arial" w:hAnsi="Arial" w:cs="Arial"/>
          <w:sz w:val="24"/>
          <w:szCs w:val="24"/>
        </w:rPr>
        <w:t>region's economic status</w:t>
      </w:r>
      <w:r w:rsidR="00170215">
        <w:rPr>
          <w:rFonts w:ascii="Arial" w:hAnsi="Arial" w:cs="Arial"/>
          <w:sz w:val="24"/>
          <w:szCs w:val="24"/>
        </w:rPr>
        <w:t>, the Mesopotamians found reasons to develop centers for religious practice</w:t>
      </w:r>
      <w:r w:rsidR="0067793D">
        <w:rPr>
          <w:rFonts w:ascii="Arial" w:hAnsi="Arial" w:cs="Arial"/>
          <w:sz w:val="24"/>
          <w:szCs w:val="24"/>
        </w:rPr>
        <w:t xml:space="preserve">s </w:t>
      </w:r>
      <w:r w:rsidR="00061572">
        <w:rPr>
          <w:rFonts w:ascii="Arial" w:hAnsi="Arial" w:cs="Arial"/>
          <w:sz w:val="24"/>
          <w:szCs w:val="24"/>
        </w:rPr>
        <w:t>alongside</w:t>
      </w:r>
      <w:r w:rsidR="0067793D">
        <w:rPr>
          <w:rFonts w:ascii="Arial" w:hAnsi="Arial" w:cs="Arial"/>
          <w:sz w:val="24"/>
          <w:szCs w:val="24"/>
        </w:rPr>
        <w:t xml:space="preserve"> developing cities. The development of the first city-states led to a distinctive hierarchy of power. At the time, Urak </w:t>
      </w:r>
      <w:r w:rsidR="00ED10F1">
        <w:rPr>
          <w:rFonts w:ascii="Arial" w:hAnsi="Arial" w:cs="Arial"/>
          <w:sz w:val="24"/>
          <w:szCs w:val="24"/>
        </w:rPr>
        <w:t xml:space="preserve">was under the reign of the Sumerians. It meant that there </w:t>
      </w:r>
      <w:r w:rsidR="0073398F">
        <w:rPr>
          <w:rFonts w:ascii="Arial" w:hAnsi="Arial" w:cs="Arial"/>
          <w:sz w:val="24"/>
          <w:szCs w:val="24"/>
        </w:rPr>
        <w:t>was</w:t>
      </w:r>
      <w:r w:rsidR="00ED10F1">
        <w:rPr>
          <w:rFonts w:ascii="Arial" w:hAnsi="Arial" w:cs="Arial"/>
          <w:sz w:val="24"/>
          <w:szCs w:val="24"/>
        </w:rPr>
        <w:t xml:space="preserve"> no confirmation of leadership positions as th</w:t>
      </w:r>
      <w:r w:rsidR="0073398F">
        <w:rPr>
          <w:rFonts w:ascii="Arial" w:hAnsi="Arial" w:cs="Arial"/>
          <w:sz w:val="24"/>
          <w:szCs w:val="24"/>
        </w:rPr>
        <w:t>e rul</w:t>
      </w:r>
      <w:r>
        <w:rPr>
          <w:rFonts w:ascii="Arial" w:hAnsi="Arial" w:cs="Arial"/>
          <w:sz w:val="24"/>
          <w:szCs w:val="24"/>
        </w:rPr>
        <w:t>ing families already determined the ruler</w:t>
      </w:r>
      <w:r w:rsidR="0073398F">
        <w:rPr>
          <w:rFonts w:ascii="Arial" w:hAnsi="Arial" w:cs="Arial"/>
          <w:sz w:val="24"/>
          <w:szCs w:val="24"/>
        </w:rPr>
        <w:t>. It went for a long time until Akkadians took over Mesopotamia</w:t>
      </w:r>
      <w:r>
        <w:rPr>
          <w:rFonts w:ascii="Arial" w:hAnsi="Arial" w:cs="Arial"/>
          <w:sz w:val="24"/>
          <w:szCs w:val="24"/>
        </w:rPr>
        <w:t>,</w:t>
      </w:r>
      <w:r w:rsidR="00371687">
        <w:rPr>
          <w:rFonts w:ascii="Arial" w:hAnsi="Arial" w:cs="Arial"/>
          <w:sz w:val="24"/>
          <w:szCs w:val="24"/>
        </w:rPr>
        <w:t xml:space="preserve"> developing </w:t>
      </w:r>
      <w:r w:rsidR="003C625F">
        <w:rPr>
          <w:rFonts w:ascii="Arial" w:hAnsi="Arial" w:cs="Arial"/>
          <w:sz w:val="24"/>
          <w:szCs w:val="24"/>
        </w:rPr>
        <w:t>an elite member of the society</w:t>
      </w:r>
      <w:r w:rsidR="00D04B30">
        <w:rPr>
          <w:rStyle w:val="FootnoteReference"/>
          <w:rFonts w:ascii="Arial" w:hAnsi="Arial" w:cs="Arial"/>
          <w:sz w:val="24"/>
          <w:szCs w:val="24"/>
        </w:rPr>
        <w:footnoteReference w:id="7"/>
      </w:r>
      <w:r w:rsidR="003C625F">
        <w:rPr>
          <w:rFonts w:ascii="Arial" w:hAnsi="Arial" w:cs="Arial"/>
          <w:sz w:val="24"/>
          <w:szCs w:val="24"/>
        </w:rPr>
        <w:t>. The leadership brought about the purpose of having statues to show respect for the individuals who have ruled over Mesopotamia. Moreover,</w:t>
      </w:r>
      <w:r w:rsidR="00686316">
        <w:rPr>
          <w:rFonts w:ascii="Arial" w:hAnsi="Arial" w:cs="Arial"/>
          <w:sz w:val="24"/>
          <w:szCs w:val="24"/>
        </w:rPr>
        <w:t xml:space="preserve"> there were designing statues that people were required to pay tribute to on a daily basis. They acted as their gods</w:t>
      </w:r>
      <w:r>
        <w:rPr>
          <w:rFonts w:ascii="Arial" w:hAnsi="Arial" w:cs="Arial"/>
          <w:sz w:val="24"/>
          <w:szCs w:val="24"/>
        </w:rPr>
        <w:t>,</w:t>
      </w:r>
      <w:r w:rsidR="00686316">
        <w:rPr>
          <w:rFonts w:ascii="Arial" w:hAnsi="Arial" w:cs="Arial"/>
          <w:sz w:val="24"/>
          <w:szCs w:val="24"/>
        </w:rPr>
        <w:t xml:space="preserve"> </w:t>
      </w:r>
      <w:r w:rsidR="008905FA">
        <w:rPr>
          <w:rFonts w:ascii="Arial" w:hAnsi="Arial" w:cs="Arial"/>
          <w:sz w:val="24"/>
          <w:szCs w:val="24"/>
        </w:rPr>
        <w:t xml:space="preserve">who should be adored and respected. For that reason, the Mesopotamians developed a worshipping culture that was believed to ensure that their gods are ever happy. With that, they were guaranteed </w:t>
      </w:r>
      <w:r>
        <w:rPr>
          <w:rFonts w:ascii="Arial" w:hAnsi="Arial" w:cs="Arial"/>
          <w:sz w:val="24"/>
          <w:szCs w:val="24"/>
        </w:rPr>
        <w:t>to receive</w:t>
      </w:r>
      <w:r w:rsidR="008905FA">
        <w:rPr>
          <w:rFonts w:ascii="Arial" w:hAnsi="Arial" w:cs="Arial"/>
          <w:sz w:val="24"/>
          <w:szCs w:val="24"/>
        </w:rPr>
        <w:t xml:space="preserve"> utmost protection </w:t>
      </w:r>
      <w:r w:rsidR="00061572">
        <w:rPr>
          <w:rFonts w:ascii="Arial" w:hAnsi="Arial" w:cs="Arial"/>
          <w:sz w:val="24"/>
          <w:szCs w:val="24"/>
        </w:rPr>
        <w:t>from their gods. No Mesopotamian</w:t>
      </w:r>
      <w:r>
        <w:rPr>
          <w:rFonts w:ascii="Arial" w:hAnsi="Arial" w:cs="Arial"/>
          <w:sz w:val="24"/>
          <w:szCs w:val="24"/>
        </w:rPr>
        <w:t>s</w:t>
      </w:r>
      <w:r w:rsidR="00061572">
        <w:rPr>
          <w:rFonts w:ascii="Arial" w:hAnsi="Arial" w:cs="Arial"/>
          <w:sz w:val="24"/>
          <w:szCs w:val="24"/>
        </w:rPr>
        <w:t xml:space="preserve"> special enough not to </w:t>
      </w:r>
      <w:r w:rsidR="001479C4">
        <w:rPr>
          <w:rFonts w:ascii="Arial" w:hAnsi="Arial" w:cs="Arial"/>
          <w:sz w:val="24"/>
          <w:szCs w:val="24"/>
        </w:rPr>
        <w:t>worship the gods as they have been taught the importance of keeping the gods happy. They were required to pass th</w:t>
      </w:r>
      <w:r>
        <w:rPr>
          <w:rFonts w:ascii="Arial" w:hAnsi="Arial" w:cs="Arial"/>
          <w:sz w:val="24"/>
          <w:szCs w:val="24"/>
        </w:rPr>
        <w:t>ese</w:t>
      </w:r>
      <w:r w:rsidR="001479C4">
        <w:rPr>
          <w:rFonts w:ascii="Arial" w:hAnsi="Arial" w:cs="Arial"/>
          <w:sz w:val="24"/>
          <w:szCs w:val="24"/>
        </w:rPr>
        <w:t xml:space="preserve"> important lessons to their generations.  </w:t>
      </w:r>
    </w:p>
    <w:p w:rsidR="009C7F06" w:rsidRPr="00EE57BA" w:rsidRDefault="00AF74E5" w:rsidP="00EE57BA">
      <w:pPr>
        <w:spacing w:line="480" w:lineRule="auto"/>
        <w:ind w:firstLine="720"/>
        <w:rPr>
          <w:rFonts w:ascii="Arial" w:hAnsi="Arial" w:cs="Arial"/>
          <w:sz w:val="24"/>
          <w:szCs w:val="24"/>
        </w:rPr>
      </w:pPr>
      <w:r>
        <w:rPr>
          <w:rFonts w:ascii="Arial" w:hAnsi="Arial" w:cs="Arial"/>
          <w:sz w:val="24"/>
          <w:szCs w:val="24"/>
        </w:rPr>
        <w:lastRenderedPageBreak/>
        <w:t>The m</w:t>
      </w:r>
      <w:r w:rsidR="00190484" w:rsidRPr="00EE57BA">
        <w:rPr>
          <w:rFonts w:ascii="Arial" w:hAnsi="Arial" w:cs="Arial"/>
          <w:sz w:val="24"/>
          <w:szCs w:val="24"/>
        </w:rPr>
        <w:t>ajority of the standing male worshipers in existence today a</w:t>
      </w:r>
      <w:r w:rsidR="002919DF" w:rsidRPr="00EE57BA">
        <w:rPr>
          <w:rFonts w:ascii="Arial" w:hAnsi="Arial" w:cs="Arial"/>
          <w:sz w:val="24"/>
          <w:szCs w:val="24"/>
        </w:rPr>
        <w:t>re known to have been recovered by various museums. Among the famous museums which have facilitated the recovery of the Early Dynastic Period stat</w:t>
      </w:r>
      <w:r w:rsidR="00FC3610" w:rsidRPr="00EE57BA">
        <w:rPr>
          <w:rFonts w:ascii="Arial" w:hAnsi="Arial" w:cs="Arial"/>
          <w:sz w:val="24"/>
          <w:szCs w:val="24"/>
        </w:rPr>
        <w:t>u</w:t>
      </w:r>
      <w:r w:rsidR="002919DF" w:rsidRPr="00EE57BA">
        <w:rPr>
          <w:rFonts w:ascii="Arial" w:hAnsi="Arial" w:cs="Arial"/>
          <w:sz w:val="24"/>
          <w:szCs w:val="24"/>
        </w:rPr>
        <w:t xml:space="preserve">es is the Metropolitan </w:t>
      </w:r>
      <w:r>
        <w:rPr>
          <w:rFonts w:ascii="Arial" w:hAnsi="Arial" w:cs="Arial"/>
          <w:sz w:val="24"/>
          <w:szCs w:val="24"/>
        </w:rPr>
        <w:t>M</w:t>
      </w:r>
      <w:r w:rsidR="002919DF" w:rsidRPr="00EE57BA">
        <w:rPr>
          <w:rFonts w:ascii="Arial" w:hAnsi="Arial" w:cs="Arial"/>
          <w:sz w:val="24"/>
          <w:szCs w:val="24"/>
        </w:rPr>
        <w:t>useum. Reports indicate that the museum funded the recovery of the stat</w:t>
      </w:r>
      <w:r w:rsidR="00FC3610" w:rsidRPr="00EE57BA">
        <w:rPr>
          <w:rFonts w:ascii="Arial" w:hAnsi="Arial" w:cs="Arial"/>
          <w:sz w:val="24"/>
          <w:szCs w:val="24"/>
        </w:rPr>
        <w:t xml:space="preserve">ues in the periods between 1957-1958 and 1960-1961. </w:t>
      </w:r>
      <w:r w:rsidR="003B6C25" w:rsidRPr="00EE57BA">
        <w:rPr>
          <w:rFonts w:ascii="Arial" w:hAnsi="Arial" w:cs="Arial"/>
          <w:sz w:val="24"/>
          <w:szCs w:val="24"/>
        </w:rPr>
        <w:t xml:space="preserve">The museum enabled </w:t>
      </w:r>
      <w:r>
        <w:rPr>
          <w:rFonts w:ascii="Arial" w:hAnsi="Arial" w:cs="Arial"/>
          <w:sz w:val="24"/>
          <w:szCs w:val="24"/>
        </w:rPr>
        <w:t xml:space="preserve">the </w:t>
      </w:r>
      <w:r w:rsidR="003B6C25" w:rsidRPr="00EE57BA">
        <w:rPr>
          <w:rFonts w:ascii="Arial" w:hAnsi="Arial" w:cs="Arial"/>
          <w:sz w:val="24"/>
          <w:szCs w:val="24"/>
        </w:rPr>
        <w:t>recovery of thousands of Early Dynastic Meso</w:t>
      </w:r>
      <w:r w:rsidR="006C2067" w:rsidRPr="00EE57BA">
        <w:rPr>
          <w:rFonts w:ascii="Arial" w:hAnsi="Arial" w:cs="Arial"/>
          <w:sz w:val="24"/>
          <w:szCs w:val="24"/>
        </w:rPr>
        <w:t>po</w:t>
      </w:r>
      <w:r w:rsidR="003B6C25" w:rsidRPr="00EE57BA">
        <w:rPr>
          <w:rFonts w:ascii="Arial" w:hAnsi="Arial" w:cs="Arial"/>
          <w:sz w:val="24"/>
          <w:szCs w:val="24"/>
        </w:rPr>
        <w:t>tamian stat</w:t>
      </w:r>
      <w:r w:rsidR="006C2067" w:rsidRPr="00EE57BA">
        <w:rPr>
          <w:rFonts w:ascii="Arial" w:hAnsi="Arial" w:cs="Arial"/>
          <w:sz w:val="24"/>
          <w:szCs w:val="24"/>
        </w:rPr>
        <w:t>ues. The museum</w:t>
      </w:r>
      <w:r>
        <w:rPr>
          <w:rFonts w:ascii="Arial" w:hAnsi="Arial" w:cs="Arial"/>
          <w:sz w:val="24"/>
          <w:szCs w:val="24"/>
        </w:rPr>
        <w:t>'</w:t>
      </w:r>
      <w:r w:rsidR="006C2067" w:rsidRPr="00EE57BA">
        <w:rPr>
          <w:rFonts w:ascii="Arial" w:hAnsi="Arial" w:cs="Arial"/>
          <w:sz w:val="24"/>
          <w:szCs w:val="24"/>
        </w:rPr>
        <w:t>s initiative to sponsor the discovery and recovery of the statues allowed it to receive</w:t>
      </w:r>
      <w:r w:rsidR="009C7F06" w:rsidRPr="00EE57BA">
        <w:rPr>
          <w:rFonts w:ascii="Arial" w:hAnsi="Arial" w:cs="Arial"/>
          <w:sz w:val="24"/>
          <w:szCs w:val="24"/>
        </w:rPr>
        <w:t xml:space="preserve"> awards </w:t>
      </w:r>
      <w:r>
        <w:rPr>
          <w:rFonts w:ascii="Arial" w:hAnsi="Arial" w:cs="Arial"/>
          <w:sz w:val="24"/>
          <w:szCs w:val="24"/>
        </w:rPr>
        <w:t>for</w:t>
      </w:r>
      <w:r w:rsidR="009C7F06" w:rsidRPr="00EE57BA">
        <w:rPr>
          <w:rFonts w:ascii="Arial" w:hAnsi="Arial" w:cs="Arial"/>
          <w:sz w:val="24"/>
          <w:szCs w:val="24"/>
        </w:rPr>
        <w:t xml:space="preserve"> some of such statues. </w:t>
      </w:r>
      <w:r>
        <w:rPr>
          <w:rFonts w:ascii="Arial" w:hAnsi="Arial" w:cs="Arial"/>
          <w:sz w:val="24"/>
          <w:szCs w:val="24"/>
        </w:rPr>
        <w:t>A</w:t>
      </w:r>
      <w:r w:rsidR="007D10D1" w:rsidRPr="00EE57BA">
        <w:rPr>
          <w:rFonts w:ascii="Arial" w:hAnsi="Arial" w:cs="Arial"/>
          <w:sz w:val="24"/>
          <w:szCs w:val="24"/>
        </w:rPr>
        <w:t xml:space="preserve">ccording to archeologists, the male worshipper statues was a representation </w:t>
      </w:r>
      <w:r w:rsidR="00DD17EF" w:rsidRPr="00EE57BA">
        <w:rPr>
          <w:rFonts w:ascii="Arial" w:hAnsi="Arial" w:cs="Arial"/>
          <w:sz w:val="24"/>
          <w:szCs w:val="24"/>
        </w:rPr>
        <w:t>of the introduction of a variety of soci</w:t>
      </w:r>
      <w:r>
        <w:rPr>
          <w:rFonts w:ascii="Arial" w:hAnsi="Arial" w:cs="Arial"/>
          <w:sz w:val="24"/>
          <w:szCs w:val="24"/>
        </w:rPr>
        <w:t>al</w:t>
      </w:r>
      <w:r w:rsidR="00DD17EF" w:rsidRPr="00EE57BA">
        <w:rPr>
          <w:rFonts w:ascii="Arial" w:hAnsi="Arial" w:cs="Arial"/>
          <w:sz w:val="24"/>
          <w:szCs w:val="24"/>
        </w:rPr>
        <w:t xml:space="preserve"> function that is still taking place in the world today</w:t>
      </w:r>
      <w:r w:rsidR="00D04B30">
        <w:rPr>
          <w:rStyle w:val="FootnoteReference"/>
          <w:rFonts w:ascii="Arial" w:hAnsi="Arial" w:cs="Arial"/>
          <w:sz w:val="24"/>
          <w:szCs w:val="24"/>
        </w:rPr>
        <w:footnoteReference w:id="8"/>
      </w:r>
      <w:r w:rsidR="00DD17EF" w:rsidRPr="00EE57BA">
        <w:rPr>
          <w:rFonts w:ascii="Arial" w:hAnsi="Arial" w:cs="Arial"/>
          <w:sz w:val="24"/>
          <w:szCs w:val="24"/>
        </w:rPr>
        <w:t xml:space="preserve">. </w:t>
      </w:r>
      <w:r w:rsidR="008E2F9E" w:rsidRPr="00EE57BA">
        <w:rPr>
          <w:rFonts w:ascii="Arial" w:hAnsi="Arial" w:cs="Arial"/>
          <w:sz w:val="24"/>
          <w:szCs w:val="24"/>
        </w:rPr>
        <w:t xml:space="preserve">The designers used stones to carve different figures that played a great role as tributes. </w:t>
      </w:r>
      <w:r w:rsidR="00986928" w:rsidRPr="00EE57BA">
        <w:rPr>
          <w:rFonts w:ascii="Arial" w:hAnsi="Arial" w:cs="Arial"/>
          <w:sz w:val="24"/>
          <w:szCs w:val="24"/>
        </w:rPr>
        <w:t xml:space="preserve">The figures were not only used for religious purposes but represented people of importance in society. </w:t>
      </w:r>
      <w:r w:rsidR="00641B16" w:rsidRPr="00EE57BA">
        <w:rPr>
          <w:rFonts w:ascii="Arial" w:hAnsi="Arial" w:cs="Arial"/>
          <w:sz w:val="24"/>
          <w:szCs w:val="24"/>
        </w:rPr>
        <w:t xml:space="preserve">It was evident that technology was responsible for the improvement of skills and techniques to inventing things. Also, </w:t>
      </w:r>
      <w:r>
        <w:rPr>
          <w:rFonts w:ascii="Arial" w:hAnsi="Arial" w:cs="Arial"/>
          <w:sz w:val="24"/>
          <w:szCs w:val="24"/>
        </w:rPr>
        <w:t xml:space="preserve">the </w:t>
      </w:r>
      <w:r w:rsidR="00641B16" w:rsidRPr="00EE57BA">
        <w:rPr>
          <w:rFonts w:ascii="Arial" w:hAnsi="Arial" w:cs="Arial"/>
          <w:sz w:val="24"/>
          <w:szCs w:val="24"/>
        </w:rPr>
        <w:t>presence of the statues showed that people had much respect for higher positions of authority and power</w:t>
      </w:r>
      <w:r w:rsidR="00D04B30">
        <w:rPr>
          <w:rStyle w:val="FootnoteReference"/>
          <w:rFonts w:ascii="Arial" w:hAnsi="Arial" w:cs="Arial"/>
          <w:sz w:val="24"/>
          <w:szCs w:val="24"/>
        </w:rPr>
        <w:footnoteReference w:id="9"/>
      </w:r>
      <w:r w:rsidR="00641B16" w:rsidRPr="00EE57BA">
        <w:rPr>
          <w:rFonts w:ascii="Arial" w:hAnsi="Arial" w:cs="Arial"/>
          <w:sz w:val="24"/>
          <w:szCs w:val="24"/>
        </w:rPr>
        <w:t xml:space="preserve">. </w:t>
      </w:r>
      <w:r w:rsidR="00EF5A41" w:rsidRPr="00EE57BA">
        <w:rPr>
          <w:rFonts w:ascii="Arial" w:hAnsi="Arial" w:cs="Arial"/>
          <w:sz w:val="24"/>
          <w:szCs w:val="24"/>
        </w:rPr>
        <w:t>The design of the statues helped to represent individuals</w:t>
      </w:r>
      <w:r>
        <w:rPr>
          <w:rFonts w:ascii="Arial" w:hAnsi="Arial" w:cs="Arial"/>
          <w:sz w:val="24"/>
          <w:szCs w:val="24"/>
        </w:rPr>
        <w:t>'</w:t>
      </w:r>
      <w:r w:rsidR="00EF5A41" w:rsidRPr="00EE57BA">
        <w:rPr>
          <w:rFonts w:ascii="Arial" w:hAnsi="Arial" w:cs="Arial"/>
          <w:sz w:val="24"/>
          <w:szCs w:val="24"/>
        </w:rPr>
        <w:t xml:space="preserve"> existence </w:t>
      </w:r>
      <w:r w:rsidR="003C15E4" w:rsidRPr="00EE57BA">
        <w:rPr>
          <w:rFonts w:ascii="Arial" w:hAnsi="Arial" w:cs="Arial"/>
          <w:sz w:val="24"/>
          <w:szCs w:val="24"/>
        </w:rPr>
        <w:t xml:space="preserve">without depicting gods. It is </w:t>
      </w:r>
      <w:r>
        <w:rPr>
          <w:rFonts w:ascii="Arial" w:hAnsi="Arial" w:cs="Arial"/>
          <w:sz w:val="24"/>
          <w:szCs w:val="24"/>
        </w:rPr>
        <w:t>importan</w:t>
      </w:r>
      <w:r w:rsidR="00415658" w:rsidRPr="00EE57BA">
        <w:rPr>
          <w:rFonts w:ascii="Arial" w:hAnsi="Arial" w:cs="Arial"/>
          <w:sz w:val="24"/>
          <w:szCs w:val="24"/>
        </w:rPr>
        <w:t xml:space="preserve">t </w:t>
      </w:r>
      <w:r>
        <w:rPr>
          <w:rFonts w:ascii="Arial" w:hAnsi="Arial" w:cs="Arial"/>
          <w:sz w:val="24"/>
          <w:szCs w:val="24"/>
        </w:rPr>
        <w:t>that society designed sculptures of prominent individuals in</w:t>
      </w:r>
      <w:r w:rsidR="000A58BA" w:rsidRPr="00EE57BA">
        <w:rPr>
          <w:rFonts w:ascii="Arial" w:hAnsi="Arial" w:cs="Arial"/>
          <w:sz w:val="24"/>
          <w:szCs w:val="24"/>
        </w:rPr>
        <w:t xml:space="preserve"> society, those who held high positions an</w:t>
      </w:r>
      <w:r w:rsidR="00415658" w:rsidRPr="00EE57BA">
        <w:rPr>
          <w:rFonts w:ascii="Arial" w:hAnsi="Arial" w:cs="Arial"/>
          <w:sz w:val="24"/>
          <w:szCs w:val="24"/>
        </w:rPr>
        <w:t>d power like the kings and gods</w:t>
      </w:r>
      <w:r>
        <w:rPr>
          <w:rFonts w:ascii="Arial" w:hAnsi="Arial" w:cs="Arial"/>
          <w:sz w:val="24"/>
          <w:szCs w:val="24"/>
        </w:rPr>
        <w:t>,</w:t>
      </w:r>
      <w:r w:rsidR="00415658" w:rsidRPr="00EE57BA">
        <w:rPr>
          <w:rFonts w:ascii="Arial" w:hAnsi="Arial" w:cs="Arial"/>
          <w:sz w:val="24"/>
          <w:szCs w:val="24"/>
        </w:rPr>
        <w:t xml:space="preserve"> showing their respect for them. </w:t>
      </w:r>
    </w:p>
    <w:p w:rsidR="00F15079" w:rsidRDefault="00F15079" w:rsidP="00EE57BA">
      <w:pPr>
        <w:spacing w:line="480" w:lineRule="auto"/>
        <w:ind w:firstLine="720"/>
        <w:rPr>
          <w:rFonts w:ascii="Arial" w:hAnsi="Arial" w:cs="Arial"/>
          <w:sz w:val="24"/>
          <w:szCs w:val="24"/>
        </w:rPr>
      </w:pPr>
      <w:r w:rsidRPr="00EE57BA">
        <w:rPr>
          <w:rFonts w:ascii="Arial" w:hAnsi="Arial" w:cs="Arial"/>
          <w:sz w:val="24"/>
          <w:szCs w:val="24"/>
        </w:rPr>
        <w:lastRenderedPageBreak/>
        <w:t xml:space="preserve">Today, the male worshiper statues are associated with religious practices </w:t>
      </w:r>
      <w:r w:rsidR="00B30002" w:rsidRPr="00EE57BA">
        <w:rPr>
          <w:rFonts w:ascii="Arial" w:hAnsi="Arial" w:cs="Arial"/>
          <w:sz w:val="24"/>
          <w:szCs w:val="24"/>
        </w:rPr>
        <w:t>in different cultures. Many cultures have similar statues which aren</w:t>
      </w:r>
      <w:r w:rsidR="00AF74E5">
        <w:rPr>
          <w:rFonts w:ascii="Arial" w:hAnsi="Arial" w:cs="Arial"/>
          <w:sz w:val="24"/>
          <w:szCs w:val="24"/>
        </w:rPr>
        <w:t>'</w:t>
      </w:r>
      <w:r w:rsidR="00B30002" w:rsidRPr="00EE57BA">
        <w:rPr>
          <w:rFonts w:ascii="Arial" w:hAnsi="Arial" w:cs="Arial"/>
          <w:sz w:val="24"/>
          <w:szCs w:val="24"/>
        </w:rPr>
        <w:t xml:space="preserve">t built in </w:t>
      </w:r>
      <w:r w:rsidR="00AF74E5">
        <w:rPr>
          <w:rFonts w:ascii="Arial" w:hAnsi="Arial" w:cs="Arial"/>
          <w:sz w:val="24"/>
          <w:szCs w:val="24"/>
        </w:rPr>
        <w:t xml:space="preserve">the </w:t>
      </w:r>
      <w:r w:rsidR="00B30002" w:rsidRPr="00EE57BA">
        <w:rPr>
          <w:rFonts w:ascii="Arial" w:hAnsi="Arial" w:cs="Arial"/>
          <w:sz w:val="24"/>
          <w:szCs w:val="24"/>
        </w:rPr>
        <w:t>same wa</w:t>
      </w:r>
      <w:r w:rsidR="004F3AC4" w:rsidRPr="00EE57BA">
        <w:rPr>
          <w:rFonts w:ascii="Arial" w:hAnsi="Arial" w:cs="Arial"/>
          <w:sz w:val="24"/>
          <w:szCs w:val="24"/>
        </w:rPr>
        <w:t xml:space="preserve">y as the make worshiper statues. </w:t>
      </w:r>
      <w:r w:rsidR="00AF74E5">
        <w:rPr>
          <w:rFonts w:ascii="Arial" w:hAnsi="Arial" w:cs="Arial"/>
          <w:sz w:val="24"/>
          <w:szCs w:val="24"/>
        </w:rPr>
        <w:t>H</w:t>
      </w:r>
      <w:r w:rsidR="004F3AC4" w:rsidRPr="00EE57BA">
        <w:rPr>
          <w:rFonts w:ascii="Arial" w:hAnsi="Arial" w:cs="Arial"/>
          <w:sz w:val="24"/>
          <w:szCs w:val="24"/>
        </w:rPr>
        <w:t>owever, the</w:t>
      </w:r>
      <w:r w:rsidR="00AF74E5">
        <w:rPr>
          <w:rFonts w:ascii="Arial" w:hAnsi="Arial" w:cs="Arial"/>
          <w:sz w:val="24"/>
          <w:szCs w:val="24"/>
        </w:rPr>
        <w:t>y</w:t>
      </w:r>
      <w:r w:rsidR="004F3AC4" w:rsidRPr="00EE57BA">
        <w:rPr>
          <w:rFonts w:ascii="Arial" w:hAnsi="Arial" w:cs="Arial"/>
          <w:sz w:val="24"/>
          <w:szCs w:val="24"/>
        </w:rPr>
        <w:t xml:space="preserve"> still have their own essence in the communities. The </w:t>
      </w:r>
      <w:r w:rsidR="008E213C" w:rsidRPr="00EE57BA">
        <w:rPr>
          <w:rFonts w:ascii="Arial" w:hAnsi="Arial" w:cs="Arial"/>
          <w:sz w:val="24"/>
          <w:szCs w:val="24"/>
        </w:rPr>
        <w:t>people have the responsibility to pay tribute to the statues as they are their gods. They are required to make sure their gods are happy</w:t>
      </w:r>
      <w:r w:rsidR="00F90BDE" w:rsidRPr="00EE57BA">
        <w:rPr>
          <w:rFonts w:ascii="Arial" w:hAnsi="Arial" w:cs="Arial"/>
          <w:sz w:val="24"/>
          <w:szCs w:val="24"/>
        </w:rPr>
        <w:t xml:space="preserve"> and give them personal belongings as a sign of respect and love</w:t>
      </w:r>
      <w:r w:rsidR="00D04B30">
        <w:rPr>
          <w:rStyle w:val="FootnoteReference"/>
          <w:rFonts w:ascii="Arial" w:hAnsi="Arial" w:cs="Arial"/>
          <w:sz w:val="24"/>
          <w:szCs w:val="24"/>
        </w:rPr>
        <w:footnoteReference w:id="10"/>
      </w:r>
      <w:r w:rsidR="00F90BDE" w:rsidRPr="00EE57BA">
        <w:rPr>
          <w:rFonts w:ascii="Arial" w:hAnsi="Arial" w:cs="Arial"/>
          <w:sz w:val="24"/>
          <w:szCs w:val="24"/>
        </w:rPr>
        <w:t>. Some include rituals</w:t>
      </w:r>
      <w:r w:rsidR="00AF74E5">
        <w:rPr>
          <w:rFonts w:ascii="Arial" w:hAnsi="Arial" w:cs="Arial"/>
          <w:sz w:val="24"/>
          <w:szCs w:val="24"/>
        </w:rPr>
        <w:t>,</w:t>
      </w:r>
      <w:r w:rsidR="00F90BDE" w:rsidRPr="00EE57BA">
        <w:rPr>
          <w:rFonts w:ascii="Arial" w:hAnsi="Arial" w:cs="Arial"/>
          <w:sz w:val="24"/>
          <w:szCs w:val="24"/>
        </w:rPr>
        <w:t xml:space="preserve"> </w:t>
      </w:r>
      <w:r w:rsidR="00AF74E5">
        <w:rPr>
          <w:rFonts w:ascii="Arial" w:hAnsi="Arial" w:cs="Arial"/>
          <w:sz w:val="24"/>
          <w:szCs w:val="24"/>
        </w:rPr>
        <w:t>such as offering livestock sacrifices,</w:t>
      </w:r>
      <w:r w:rsidR="00251116" w:rsidRPr="00EE57BA">
        <w:rPr>
          <w:rFonts w:ascii="Arial" w:hAnsi="Arial" w:cs="Arial"/>
          <w:sz w:val="24"/>
          <w:szCs w:val="24"/>
        </w:rPr>
        <w:t xml:space="preserve"> while others donate part of their farm produce to the temples where their gods live to make them happy. </w:t>
      </w:r>
      <w:r w:rsidR="00944A85" w:rsidRPr="00EE57BA">
        <w:rPr>
          <w:rFonts w:ascii="Arial" w:hAnsi="Arial" w:cs="Arial"/>
          <w:sz w:val="24"/>
          <w:szCs w:val="24"/>
        </w:rPr>
        <w:t xml:space="preserve">These are among the practices that are still practiced today by many religious persons bringing their possessions </w:t>
      </w:r>
      <w:r w:rsidR="00AF74E5">
        <w:rPr>
          <w:rFonts w:ascii="Arial" w:hAnsi="Arial" w:cs="Arial"/>
          <w:sz w:val="24"/>
          <w:szCs w:val="24"/>
        </w:rPr>
        <w:t>to value</w:t>
      </w:r>
      <w:r w:rsidR="00944A85" w:rsidRPr="00EE57BA">
        <w:rPr>
          <w:rFonts w:ascii="Arial" w:hAnsi="Arial" w:cs="Arial"/>
          <w:sz w:val="24"/>
          <w:szCs w:val="24"/>
        </w:rPr>
        <w:t xml:space="preserve"> their religious places of their gods. </w:t>
      </w:r>
      <w:r w:rsidR="00AF74E5">
        <w:rPr>
          <w:rFonts w:ascii="Arial" w:hAnsi="Arial" w:cs="Arial"/>
          <w:sz w:val="24"/>
          <w:szCs w:val="24"/>
        </w:rPr>
        <w:t xml:space="preserve">People are using the statues as their gods, showing them much respect, and bringing possessions to them to receive protection. Cultures across the world believe that gods help them solve their issues amicably. </w:t>
      </w:r>
    </w:p>
    <w:p w:rsidR="004B01AE" w:rsidRDefault="004B01AE" w:rsidP="004B01AE">
      <w:pPr>
        <w:spacing w:line="480" w:lineRule="auto"/>
        <w:rPr>
          <w:rFonts w:ascii="Arial" w:hAnsi="Arial" w:cs="Arial"/>
          <w:sz w:val="24"/>
          <w:szCs w:val="24"/>
        </w:rPr>
      </w:pPr>
    </w:p>
    <w:p w:rsidR="00D04B30" w:rsidRDefault="00D04B30" w:rsidP="004B01AE">
      <w:pPr>
        <w:spacing w:line="480" w:lineRule="auto"/>
        <w:rPr>
          <w:rFonts w:ascii="Arial" w:hAnsi="Arial" w:cs="Arial"/>
          <w:sz w:val="24"/>
          <w:szCs w:val="24"/>
        </w:rPr>
      </w:pPr>
    </w:p>
    <w:p w:rsidR="00D04B30" w:rsidRDefault="00D04B30" w:rsidP="004B01AE">
      <w:pPr>
        <w:spacing w:line="480" w:lineRule="auto"/>
        <w:rPr>
          <w:rFonts w:ascii="Arial" w:hAnsi="Arial" w:cs="Arial"/>
          <w:sz w:val="24"/>
          <w:szCs w:val="24"/>
        </w:rPr>
      </w:pPr>
    </w:p>
    <w:p w:rsidR="00D04B30" w:rsidRDefault="00D04B30" w:rsidP="004B01AE">
      <w:pPr>
        <w:spacing w:line="480" w:lineRule="auto"/>
        <w:rPr>
          <w:rFonts w:ascii="Arial" w:hAnsi="Arial" w:cs="Arial"/>
          <w:sz w:val="24"/>
          <w:szCs w:val="24"/>
        </w:rPr>
      </w:pPr>
    </w:p>
    <w:p w:rsidR="00D04B30" w:rsidRDefault="00D04B30" w:rsidP="004B01AE">
      <w:pPr>
        <w:spacing w:line="480" w:lineRule="auto"/>
        <w:rPr>
          <w:rFonts w:ascii="Arial" w:hAnsi="Arial" w:cs="Arial"/>
          <w:sz w:val="24"/>
          <w:szCs w:val="24"/>
        </w:rPr>
      </w:pPr>
    </w:p>
    <w:p w:rsidR="00D04B30" w:rsidRDefault="00D04B30" w:rsidP="004B01AE">
      <w:pPr>
        <w:spacing w:line="480" w:lineRule="auto"/>
        <w:rPr>
          <w:rFonts w:ascii="Arial" w:hAnsi="Arial" w:cs="Arial"/>
          <w:sz w:val="24"/>
          <w:szCs w:val="24"/>
        </w:rPr>
      </w:pPr>
    </w:p>
    <w:p w:rsidR="00D04B30" w:rsidRDefault="00D04B30" w:rsidP="004B01AE">
      <w:pPr>
        <w:spacing w:line="480" w:lineRule="auto"/>
        <w:rPr>
          <w:rFonts w:ascii="Arial" w:hAnsi="Arial" w:cs="Arial"/>
          <w:sz w:val="24"/>
          <w:szCs w:val="24"/>
        </w:rPr>
      </w:pPr>
    </w:p>
    <w:p w:rsidR="00D04B30" w:rsidRDefault="00D04B30" w:rsidP="004B01AE">
      <w:pPr>
        <w:spacing w:line="480" w:lineRule="auto"/>
        <w:rPr>
          <w:rFonts w:ascii="Arial" w:hAnsi="Arial" w:cs="Arial"/>
          <w:sz w:val="24"/>
          <w:szCs w:val="24"/>
        </w:rPr>
      </w:pPr>
    </w:p>
    <w:p w:rsidR="00D04B30" w:rsidRDefault="00D04B30" w:rsidP="004B01AE">
      <w:pPr>
        <w:spacing w:line="480" w:lineRule="auto"/>
        <w:rPr>
          <w:rFonts w:ascii="Arial" w:hAnsi="Arial" w:cs="Arial"/>
          <w:sz w:val="24"/>
          <w:szCs w:val="24"/>
        </w:rPr>
      </w:pPr>
    </w:p>
    <w:p w:rsidR="00B604EB" w:rsidRDefault="00B604EB" w:rsidP="004B01AE">
      <w:pPr>
        <w:spacing w:line="480" w:lineRule="auto"/>
        <w:ind w:left="2880" w:firstLine="720"/>
        <w:rPr>
          <w:rFonts w:ascii="Arial" w:hAnsi="Arial" w:cs="Arial"/>
          <w:sz w:val="24"/>
          <w:szCs w:val="24"/>
        </w:rPr>
      </w:pPr>
      <w:r>
        <w:rPr>
          <w:rFonts w:ascii="Arial" w:hAnsi="Arial" w:cs="Arial"/>
          <w:sz w:val="24"/>
          <w:szCs w:val="24"/>
        </w:rPr>
        <w:t>Work cited</w:t>
      </w:r>
    </w:p>
    <w:p w:rsidR="004B01AE" w:rsidRDefault="004B01AE" w:rsidP="004B01AE">
      <w:pPr>
        <w:spacing w:line="480" w:lineRule="auto"/>
        <w:ind w:left="720" w:hanging="720"/>
        <w:rPr>
          <w:rFonts w:ascii="Arial" w:hAnsi="Arial" w:cs="Arial"/>
          <w:sz w:val="24"/>
          <w:szCs w:val="24"/>
        </w:rPr>
      </w:pPr>
      <w:r w:rsidRPr="004B01AE">
        <w:rPr>
          <w:rFonts w:ascii="Arial" w:hAnsi="Arial" w:cs="Arial"/>
          <w:sz w:val="24"/>
          <w:szCs w:val="24"/>
        </w:rPr>
        <w:t>Basedau, Matthias, and Johanna Schaefer-Kehnert. "Religious discrimination and religious armed conflict in sub-Saharan Africa: an obvious relationship?." </w:t>
      </w:r>
      <w:r w:rsidRPr="004B01AE">
        <w:rPr>
          <w:rFonts w:ascii="Arial" w:hAnsi="Arial" w:cs="Arial"/>
          <w:i/>
          <w:iCs/>
          <w:sz w:val="24"/>
          <w:szCs w:val="24"/>
        </w:rPr>
        <w:t>Religion, State &amp; Society</w:t>
      </w:r>
      <w:r w:rsidRPr="004B01AE">
        <w:rPr>
          <w:rFonts w:ascii="Arial" w:hAnsi="Arial" w:cs="Arial"/>
          <w:sz w:val="24"/>
          <w:szCs w:val="24"/>
        </w:rPr>
        <w:t> 47, no. 1 (2019): 30-47.</w:t>
      </w:r>
    </w:p>
    <w:p w:rsidR="004B01AE" w:rsidRDefault="004B01AE" w:rsidP="004B01AE">
      <w:pPr>
        <w:spacing w:line="480" w:lineRule="auto"/>
        <w:ind w:left="720" w:hanging="720"/>
        <w:rPr>
          <w:rFonts w:ascii="Arial" w:hAnsi="Arial" w:cs="Arial"/>
          <w:sz w:val="24"/>
          <w:szCs w:val="24"/>
        </w:rPr>
      </w:pPr>
      <w:r w:rsidRPr="004B01AE">
        <w:rPr>
          <w:rFonts w:ascii="Arial" w:hAnsi="Arial" w:cs="Arial"/>
          <w:sz w:val="24"/>
          <w:szCs w:val="24"/>
        </w:rPr>
        <w:t>Horejs, Barbara, Christoph Schwall, Vera Müller, Marta Luciani, Markus Ritter, Mattia Giudetti, Roderick B. Salisbury, Felix Höflmayer, and Teresa Bürge. "of the 10th International Congress on the Archaeology of the Ancient Near East."</w:t>
      </w:r>
    </w:p>
    <w:p w:rsidR="004B01AE" w:rsidRDefault="004B01AE" w:rsidP="004B01AE">
      <w:pPr>
        <w:spacing w:line="480" w:lineRule="auto"/>
        <w:ind w:left="720" w:hanging="720"/>
        <w:rPr>
          <w:rFonts w:ascii="Arial" w:hAnsi="Arial" w:cs="Arial"/>
          <w:sz w:val="24"/>
          <w:szCs w:val="24"/>
        </w:rPr>
      </w:pPr>
      <w:r w:rsidRPr="004B01AE">
        <w:rPr>
          <w:rFonts w:ascii="Arial" w:hAnsi="Arial" w:cs="Arial"/>
          <w:sz w:val="24"/>
          <w:szCs w:val="24"/>
        </w:rPr>
        <w:t>Meerchyad, Lina. "Ancient Mesopotamian Seals: in the Collection of the Detroit Institute of Arts." </w:t>
      </w:r>
      <w:r w:rsidRPr="004B01AE">
        <w:rPr>
          <w:rFonts w:ascii="Arial" w:hAnsi="Arial" w:cs="Arial"/>
          <w:i/>
          <w:iCs/>
          <w:sz w:val="24"/>
          <w:szCs w:val="24"/>
        </w:rPr>
        <w:t>Bulletin of the Detroit Institute of Arts</w:t>
      </w:r>
      <w:r w:rsidRPr="004B01AE">
        <w:rPr>
          <w:rFonts w:ascii="Arial" w:hAnsi="Arial" w:cs="Arial"/>
          <w:sz w:val="24"/>
          <w:szCs w:val="24"/>
        </w:rPr>
        <w:t> 90, no. 14 (2016): 58-71.</w:t>
      </w:r>
    </w:p>
    <w:p w:rsidR="004B01AE" w:rsidRDefault="004B01AE" w:rsidP="004B01AE">
      <w:pPr>
        <w:spacing w:line="480" w:lineRule="auto"/>
        <w:ind w:left="720" w:hanging="720"/>
        <w:rPr>
          <w:rFonts w:ascii="Arial" w:hAnsi="Arial" w:cs="Arial"/>
          <w:sz w:val="24"/>
          <w:szCs w:val="24"/>
        </w:rPr>
      </w:pPr>
      <w:r w:rsidRPr="004B01AE">
        <w:rPr>
          <w:rFonts w:ascii="Arial" w:hAnsi="Arial" w:cs="Arial"/>
          <w:sz w:val="24"/>
          <w:szCs w:val="24"/>
        </w:rPr>
        <w:t>Padhi, Soubhagya Ranjan, and Manash Pratim Goswami. "Tribal Folklore to Aesthetic and Religious Painting: Transition of Oral Narratives to Visual Art." </w:t>
      </w:r>
      <w:r w:rsidRPr="004B01AE">
        <w:rPr>
          <w:rFonts w:ascii="Arial" w:hAnsi="Arial" w:cs="Arial"/>
          <w:i/>
          <w:iCs/>
          <w:sz w:val="24"/>
          <w:szCs w:val="24"/>
        </w:rPr>
        <w:t>Journal of Religion and Health</w:t>
      </w:r>
      <w:r w:rsidRPr="004B01AE">
        <w:rPr>
          <w:rFonts w:ascii="Arial" w:hAnsi="Arial" w:cs="Arial"/>
          <w:sz w:val="24"/>
          <w:szCs w:val="24"/>
        </w:rPr>
        <w:t> (2020): 1-12.</w:t>
      </w:r>
    </w:p>
    <w:p w:rsidR="00B604EB" w:rsidRDefault="00B604EB" w:rsidP="00B604EB">
      <w:pPr>
        <w:spacing w:line="480" w:lineRule="auto"/>
        <w:rPr>
          <w:rFonts w:ascii="Arial" w:hAnsi="Arial" w:cs="Arial"/>
          <w:sz w:val="24"/>
          <w:szCs w:val="24"/>
        </w:rPr>
      </w:pPr>
    </w:p>
    <w:p w:rsidR="00B604EB" w:rsidRPr="00EE57BA" w:rsidRDefault="00B604EB" w:rsidP="00EE57BA">
      <w:pPr>
        <w:spacing w:line="480" w:lineRule="auto"/>
        <w:ind w:firstLine="720"/>
        <w:rPr>
          <w:rFonts w:ascii="Arial" w:hAnsi="Arial" w:cs="Arial"/>
          <w:sz w:val="24"/>
          <w:szCs w:val="24"/>
        </w:rPr>
      </w:pPr>
    </w:p>
    <w:p w:rsidR="007D10D1" w:rsidRDefault="007D10D1" w:rsidP="009C7F06">
      <w:pPr>
        <w:ind w:firstLine="720"/>
        <w:rPr>
          <w:rFonts w:cstheme="minorHAnsi"/>
        </w:rPr>
      </w:pPr>
    </w:p>
    <w:p w:rsidR="001633F9" w:rsidRDefault="001633F9" w:rsidP="00C732E5">
      <w:pPr>
        <w:ind w:firstLine="720"/>
        <w:rPr>
          <w:rFonts w:cstheme="minorHAnsi"/>
        </w:rPr>
      </w:pPr>
    </w:p>
    <w:p w:rsidR="0093083C" w:rsidRDefault="0093083C" w:rsidP="00C732E5">
      <w:pPr>
        <w:ind w:firstLine="720"/>
        <w:rPr>
          <w:rFonts w:cstheme="minorHAnsi"/>
        </w:rPr>
      </w:pPr>
    </w:p>
    <w:p w:rsidR="005C4A1E" w:rsidRDefault="005C4A1E" w:rsidP="00ED0F1A">
      <w:pPr>
        <w:tabs>
          <w:tab w:val="left" w:pos="7395"/>
        </w:tabs>
        <w:ind w:left="1440" w:firstLine="720"/>
        <w:rPr>
          <w:rFonts w:cstheme="minorHAnsi"/>
        </w:rPr>
      </w:pPr>
    </w:p>
    <w:p w:rsidR="00642FD6" w:rsidRDefault="00642FD6" w:rsidP="00642FD6">
      <w:pPr>
        <w:tabs>
          <w:tab w:val="left" w:pos="7395"/>
        </w:tabs>
        <w:ind w:left="1440" w:firstLine="720"/>
        <w:rPr>
          <w:rFonts w:cstheme="minorHAnsi"/>
        </w:rPr>
      </w:pPr>
    </w:p>
    <w:p w:rsidR="00D86A5B" w:rsidRDefault="00ED0F1A" w:rsidP="00ED0F1A">
      <w:pPr>
        <w:tabs>
          <w:tab w:val="left" w:pos="7395"/>
        </w:tabs>
        <w:ind w:left="1440" w:firstLine="720"/>
        <w:rPr>
          <w:rFonts w:cstheme="minorHAnsi"/>
        </w:rPr>
      </w:pPr>
      <w:r>
        <w:rPr>
          <w:rFonts w:cstheme="minorHAnsi"/>
        </w:rPr>
        <w:tab/>
      </w:r>
    </w:p>
    <w:p w:rsidR="00ED0F1A" w:rsidRDefault="00ED0F1A" w:rsidP="00ED0F1A">
      <w:pPr>
        <w:tabs>
          <w:tab w:val="left" w:pos="7395"/>
        </w:tabs>
        <w:rPr>
          <w:rFonts w:cstheme="minorHAnsi"/>
        </w:rPr>
      </w:pPr>
    </w:p>
    <w:p w:rsidR="00D86A5B" w:rsidRPr="00997FB0" w:rsidRDefault="00D86A5B">
      <w:pPr>
        <w:rPr>
          <w:rFonts w:cstheme="minorHAnsi"/>
        </w:rPr>
      </w:pPr>
    </w:p>
    <w:p w:rsidR="00EE1C0F" w:rsidRPr="009420C7" w:rsidRDefault="00EE1C0F">
      <w:pPr>
        <w:rPr>
          <w:rFonts w:ascii="Arial" w:hAnsi="Arial" w:cs="Arial"/>
        </w:rPr>
      </w:pPr>
    </w:p>
    <w:sectPr w:rsidR="00EE1C0F" w:rsidRPr="009420C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C74" w:rsidRDefault="00BA1C74" w:rsidP="004B01AE">
      <w:pPr>
        <w:spacing w:after="0" w:line="240" w:lineRule="auto"/>
      </w:pPr>
      <w:r>
        <w:separator/>
      </w:r>
    </w:p>
  </w:endnote>
  <w:endnote w:type="continuationSeparator" w:id="0">
    <w:p w:rsidR="00BA1C74" w:rsidRDefault="00BA1C74" w:rsidP="004B0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C74" w:rsidRDefault="00BA1C74" w:rsidP="004B01AE">
      <w:pPr>
        <w:spacing w:after="0" w:line="240" w:lineRule="auto"/>
      </w:pPr>
      <w:r>
        <w:separator/>
      </w:r>
    </w:p>
  </w:footnote>
  <w:footnote w:type="continuationSeparator" w:id="0">
    <w:p w:rsidR="00BA1C74" w:rsidRDefault="00BA1C74" w:rsidP="004B01AE">
      <w:pPr>
        <w:spacing w:after="0" w:line="240" w:lineRule="auto"/>
      </w:pPr>
      <w:r>
        <w:continuationSeparator/>
      </w:r>
    </w:p>
  </w:footnote>
  <w:footnote w:id="1">
    <w:p w:rsidR="004B01AE" w:rsidRPr="004B01AE" w:rsidRDefault="004B01AE" w:rsidP="004B01AE">
      <w:pPr>
        <w:pStyle w:val="FootnoteText"/>
      </w:pPr>
      <w:r>
        <w:rPr>
          <w:rStyle w:val="FootnoteReference"/>
        </w:rPr>
        <w:footnoteRef/>
      </w:r>
      <w:r>
        <w:t xml:space="preserve"> </w:t>
      </w:r>
      <w:r w:rsidRPr="004B01AE">
        <w:t>Meerchyad, Lina. "Ancient Mesopotamian Seals: in the Collection of the Detroit Institute of Arts." </w:t>
      </w:r>
      <w:r w:rsidRPr="004B01AE">
        <w:rPr>
          <w:i/>
          <w:iCs/>
        </w:rPr>
        <w:t>Bulletin of the Detroit Institute of Arts</w:t>
      </w:r>
      <w:r w:rsidRPr="004B01AE">
        <w:t> 90, no. 14 (2016): 58-71.</w:t>
      </w:r>
    </w:p>
    <w:p w:rsidR="004B01AE" w:rsidRDefault="004B01AE">
      <w:pPr>
        <w:pStyle w:val="FootnoteText"/>
      </w:pPr>
    </w:p>
  </w:footnote>
  <w:footnote w:id="2">
    <w:p w:rsidR="004B01AE" w:rsidRPr="004B01AE" w:rsidRDefault="004B01AE" w:rsidP="004B01AE">
      <w:pPr>
        <w:pStyle w:val="FootnoteText"/>
      </w:pPr>
      <w:r>
        <w:rPr>
          <w:rStyle w:val="FootnoteReference"/>
        </w:rPr>
        <w:footnoteRef/>
      </w:r>
      <w:r>
        <w:t xml:space="preserve"> </w:t>
      </w:r>
      <w:r w:rsidRPr="004B01AE">
        <w:t>Padhi, Soubhagya Ranjan, and Manash Pratim Goswami. "Tribal Folklore to Aesthetic and Religious Painting: Transition of Oral Narratives to Visual Art." </w:t>
      </w:r>
      <w:r w:rsidRPr="004B01AE">
        <w:rPr>
          <w:i/>
          <w:iCs/>
        </w:rPr>
        <w:t>Journal of Religion and Health</w:t>
      </w:r>
      <w:r w:rsidRPr="004B01AE">
        <w:t> (2020): 1-12.</w:t>
      </w:r>
    </w:p>
    <w:p w:rsidR="004B01AE" w:rsidRDefault="004B01AE">
      <w:pPr>
        <w:pStyle w:val="FootnoteText"/>
      </w:pPr>
    </w:p>
  </w:footnote>
  <w:footnote w:id="3">
    <w:p w:rsidR="00D04B30" w:rsidRPr="00D04B30" w:rsidRDefault="004B01AE" w:rsidP="00D04B30">
      <w:pPr>
        <w:pStyle w:val="FootnoteText"/>
      </w:pPr>
      <w:r>
        <w:rPr>
          <w:rStyle w:val="FootnoteReference"/>
        </w:rPr>
        <w:footnoteRef/>
      </w:r>
      <w:r>
        <w:t xml:space="preserve"> </w:t>
      </w:r>
      <w:r w:rsidR="00D04B30" w:rsidRPr="00D04B30">
        <w:t>Meerchyad, Lina. "Ancient Mesopotamian Seals: in the Collection of the Detroit Institute of Arts." </w:t>
      </w:r>
      <w:r w:rsidR="00D04B30" w:rsidRPr="00D04B30">
        <w:rPr>
          <w:i/>
          <w:iCs/>
        </w:rPr>
        <w:t>Bulletin of the Detroit Institute of Arts</w:t>
      </w:r>
      <w:r w:rsidR="00D04B30" w:rsidRPr="00D04B30">
        <w:t> 90, no. 14 (2016): 58-71.</w:t>
      </w:r>
    </w:p>
    <w:p w:rsidR="004B01AE" w:rsidRDefault="004B01AE">
      <w:pPr>
        <w:pStyle w:val="FootnoteText"/>
      </w:pPr>
    </w:p>
  </w:footnote>
  <w:footnote w:id="4">
    <w:p w:rsidR="00D04B30" w:rsidRPr="00D04B30" w:rsidRDefault="00D04B30" w:rsidP="00D04B30">
      <w:pPr>
        <w:pStyle w:val="FootnoteText"/>
      </w:pPr>
      <w:r>
        <w:rPr>
          <w:rStyle w:val="FootnoteReference"/>
        </w:rPr>
        <w:footnoteRef/>
      </w:r>
      <w:r>
        <w:t xml:space="preserve"> </w:t>
      </w:r>
      <w:r w:rsidRPr="00D04B30">
        <w:t>Meerchyad, Lina. "Ancient Mesopotamian Seals: in the Collection of the Detroit Institute of Arts." </w:t>
      </w:r>
      <w:r w:rsidRPr="00D04B30">
        <w:rPr>
          <w:i/>
          <w:iCs/>
        </w:rPr>
        <w:t>Bulletin of the Detroit Institute of Arts</w:t>
      </w:r>
      <w:r w:rsidRPr="00D04B30">
        <w:t> 90, no. 14 (2016): 58-71.</w:t>
      </w:r>
    </w:p>
    <w:p w:rsidR="00D04B30" w:rsidRDefault="00D04B30">
      <w:pPr>
        <w:pStyle w:val="FootnoteText"/>
      </w:pPr>
    </w:p>
  </w:footnote>
  <w:footnote w:id="5">
    <w:p w:rsidR="00D04B30" w:rsidRPr="00D04B30" w:rsidRDefault="00D04B30" w:rsidP="00D04B30">
      <w:pPr>
        <w:pStyle w:val="FootnoteText"/>
      </w:pPr>
      <w:r>
        <w:rPr>
          <w:rStyle w:val="FootnoteReference"/>
        </w:rPr>
        <w:footnoteRef/>
      </w:r>
      <w:r>
        <w:t xml:space="preserve"> </w:t>
      </w:r>
      <w:r w:rsidRPr="00D04B30">
        <w:t>Meerchyad, Lina. "Ancient Mesopotamian Seals: in the Collection of the Detroit Institute of Arts." </w:t>
      </w:r>
      <w:r w:rsidRPr="00D04B30">
        <w:rPr>
          <w:i/>
          <w:iCs/>
        </w:rPr>
        <w:t>Bulletin of the Detroit Institute of Arts</w:t>
      </w:r>
      <w:r w:rsidRPr="00D04B30">
        <w:t> 90, no. 14 (2016): 58-71.</w:t>
      </w:r>
    </w:p>
    <w:p w:rsidR="00D04B30" w:rsidRDefault="00D04B30">
      <w:pPr>
        <w:pStyle w:val="FootnoteText"/>
      </w:pPr>
    </w:p>
  </w:footnote>
  <w:footnote w:id="6">
    <w:p w:rsidR="00D04B30" w:rsidRPr="00D04B30" w:rsidRDefault="00D04B30" w:rsidP="00D04B30">
      <w:pPr>
        <w:pStyle w:val="FootnoteText"/>
      </w:pPr>
      <w:r>
        <w:rPr>
          <w:rStyle w:val="FootnoteReference"/>
        </w:rPr>
        <w:footnoteRef/>
      </w:r>
      <w:r>
        <w:t xml:space="preserve"> </w:t>
      </w:r>
      <w:r w:rsidRPr="00D04B30">
        <w:t>Meerchyad, Lina. "Ancient Mesopotamian Seals: in the Collection of the Detroit Institute of Arts." </w:t>
      </w:r>
      <w:r w:rsidRPr="00D04B30">
        <w:rPr>
          <w:i/>
          <w:iCs/>
        </w:rPr>
        <w:t>Bulletin of the Detroit Institute of Arts</w:t>
      </w:r>
      <w:r w:rsidRPr="00D04B30">
        <w:t> 90, no. 14 (2016): 58-71.</w:t>
      </w:r>
    </w:p>
    <w:p w:rsidR="00D04B30" w:rsidRDefault="00D04B30">
      <w:pPr>
        <w:pStyle w:val="FootnoteText"/>
      </w:pPr>
    </w:p>
  </w:footnote>
  <w:footnote w:id="7">
    <w:p w:rsidR="00D04B30" w:rsidRPr="00D04B30" w:rsidRDefault="00D04B30" w:rsidP="00D04B30">
      <w:pPr>
        <w:pStyle w:val="FootnoteText"/>
      </w:pPr>
      <w:r>
        <w:rPr>
          <w:rStyle w:val="FootnoteReference"/>
        </w:rPr>
        <w:footnoteRef/>
      </w:r>
      <w:r>
        <w:t xml:space="preserve"> </w:t>
      </w:r>
      <w:r w:rsidRPr="00D04B30">
        <w:t>Padhi, Soubhagya Ranjan, and Manash Pratim Goswami. "Tribal Folklore to Aesthetic and Religious Painting: Transition of Oral Narratives to Visual Art." </w:t>
      </w:r>
      <w:r w:rsidRPr="00D04B30">
        <w:rPr>
          <w:i/>
          <w:iCs/>
        </w:rPr>
        <w:t>Journal of Religion and Health</w:t>
      </w:r>
      <w:r w:rsidRPr="00D04B30">
        <w:t> (2020): 1-12.</w:t>
      </w:r>
    </w:p>
    <w:p w:rsidR="00D04B30" w:rsidRDefault="00D04B30">
      <w:pPr>
        <w:pStyle w:val="FootnoteText"/>
      </w:pPr>
    </w:p>
  </w:footnote>
  <w:footnote w:id="8">
    <w:p w:rsidR="00D04B30" w:rsidRPr="00D04B30" w:rsidRDefault="00D04B30" w:rsidP="00D04B30">
      <w:pPr>
        <w:pStyle w:val="FootnoteText"/>
      </w:pPr>
      <w:r>
        <w:rPr>
          <w:rStyle w:val="FootnoteReference"/>
        </w:rPr>
        <w:footnoteRef/>
      </w:r>
      <w:r>
        <w:t xml:space="preserve"> </w:t>
      </w:r>
      <w:r w:rsidRPr="00D04B30">
        <w:t>Basedau, Matthias, and Johanna Schaefer-Kehnert. "Religious discrimination and religious armed conflict in sub-Saharan Africa: an obvious relationship?." </w:t>
      </w:r>
      <w:r w:rsidRPr="00D04B30">
        <w:rPr>
          <w:i/>
          <w:iCs/>
        </w:rPr>
        <w:t>Religion, State &amp; Society</w:t>
      </w:r>
      <w:r w:rsidRPr="00D04B30">
        <w:t> 47, no. 1 (2019): 30-47.</w:t>
      </w:r>
    </w:p>
    <w:p w:rsidR="00D04B30" w:rsidRDefault="00D04B30">
      <w:pPr>
        <w:pStyle w:val="FootnoteText"/>
      </w:pPr>
    </w:p>
  </w:footnote>
  <w:footnote w:id="9">
    <w:p w:rsidR="00D04B30" w:rsidRPr="00D04B30" w:rsidRDefault="00D04B30" w:rsidP="00D04B30">
      <w:pPr>
        <w:pStyle w:val="FootnoteText"/>
      </w:pPr>
      <w:r>
        <w:rPr>
          <w:rStyle w:val="FootnoteReference"/>
        </w:rPr>
        <w:footnoteRef/>
      </w:r>
      <w:r>
        <w:t xml:space="preserve"> </w:t>
      </w:r>
      <w:r w:rsidRPr="00D04B30">
        <w:t>Horejs, Barbara, Christoph Schwall, Vera Müller, Marta Luciani, Markus Ritter, Mattia Giudetti, Roderick B. Salisbury, Felix Höflmayer, and Teresa Bürge. "of the 10th International Congress on the Archaeology of the Ancient Near East."</w:t>
      </w:r>
    </w:p>
    <w:p w:rsidR="00D04B30" w:rsidRDefault="00D04B30">
      <w:pPr>
        <w:pStyle w:val="FootnoteText"/>
      </w:pPr>
    </w:p>
  </w:footnote>
  <w:footnote w:id="10">
    <w:p w:rsidR="00D04B30" w:rsidRPr="00D04B30" w:rsidRDefault="00D04B30" w:rsidP="00D04B30">
      <w:pPr>
        <w:pStyle w:val="FootnoteText"/>
      </w:pPr>
      <w:r>
        <w:rPr>
          <w:rStyle w:val="FootnoteReference"/>
        </w:rPr>
        <w:footnoteRef/>
      </w:r>
      <w:r>
        <w:t xml:space="preserve"> </w:t>
      </w:r>
      <w:r w:rsidRPr="00D04B30">
        <w:t>Horejs, Barbara, Christoph Schwall, Vera Müller, Marta Luciani, Markus Ritter, Mattia Giudetti, Roderick B. Salisbury, Felix Höflmayer, and Teresa Bürge. "of the 10th International Congress on the Archaeology of the Ancient Near East."</w:t>
      </w:r>
    </w:p>
    <w:p w:rsidR="00D04B30" w:rsidRDefault="00D04B30">
      <w:pPr>
        <w:pStyle w:val="FootnoteText"/>
      </w:pPr>
      <w:bookmarkStart w:id="0" w:name="_GoBack"/>
      <w:bookmarkEnd w:id="0"/>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132008"/>
      <w:docPartObj>
        <w:docPartGallery w:val="Page Numbers (Top of Page)"/>
        <w:docPartUnique/>
      </w:docPartObj>
    </w:sdtPr>
    <w:sdtEndPr>
      <w:rPr>
        <w:noProof/>
      </w:rPr>
    </w:sdtEndPr>
    <w:sdtContent>
      <w:p w:rsidR="004B01AE" w:rsidRDefault="004B01AE">
        <w:pPr>
          <w:pStyle w:val="Header"/>
          <w:jc w:val="right"/>
        </w:pPr>
        <w:r>
          <w:fldChar w:fldCharType="begin"/>
        </w:r>
        <w:r>
          <w:instrText xml:space="preserve"> PAGE   \* MERGEFORMAT </w:instrText>
        </w:r>
        <w:r>
          <w:fldChar w:fldCharType="separate"/>
        </w:r>
        <w:r w:rsidR="00D04B30">
          <w:rPr>
            <w:noProof/>
          </w:rPr>
          <w:t>1</w:t>
        </w:r>
        <w:r>
          <w:rPr>
            <w:noProof/>
          </w:rPr>
          <w:fldChar w:fldCharType="end"/>
        </w:r>
      </w:p>
    </w:sdtContent>
  </w:sdt>
  <w:p w:rsidR="004B01AE" w:rsidRDefault="004B01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2sTQ1tbS0MLEwNjVR0lEKTi0uzszPAykwqgUA9+j0YSwAAAA="/>
  </w:docVars>
  <w:rsids>
    <w:rsidRoot w:val="00EE1C0F"/>
    <w:rsid w:val="00037188"/>
    <w:rsid w:val="000479B4"/>
    <w:rsid w:val="00061572"/>
    <w:rsid w:val="00082B74"/>
    <w:rsid w:val="00091EB4"/>
    <w:rsid w:val="00094CD6"/>
    <w:rsid w:val="000A58BA"/>
    <w:rsid w:val="000B5534"/>
    <w:rsid w:val="000E75AA"/>
    <w:rsid w:val="001338D3"/>
    <w:rsid w:val="0013433F"/>
    <w:rsid w:val="001479C4"/>
    <w:rsid w:val="00152CFF"/>
    <w:rsid w:val="001633F9"/>
    <w:rsid w:val="00170215"/>
    <w:rsid w:val="0018505B"/>
    <w:rsid w:val="00190484"/>
    <w:rsid w:val="00192F09"/>
    <w:rsid w:val="001D50EC"/>
    <w:rsid w:val="001E0D93"/>
    <w:rsid w:val="0024667C"/>
    <w:rsid w:val="00250695"/>
    <w:rsid w:val="00251116"/>
    <w:rsid w:val="00270EAA"/>
    <w:rsid w:val="002919DF"/>
    <w:rsid w:val="00297E01"/>
    <w:rsid w:val="002C30A9"/>
    <w:rsid w:val="002C3410"/>
    <w:rsid w:val="002F1646"/>
    <w:rsid w:val="00304B3A"/>
    <w:rsid w:val="00343EF7"/>
    <w:rsid w:val="00361CA8"/>
    <w:rsid w:val="00371687"/>
    <w:rsid w:val="003B6C25"/>
    <w:rsid w:val="003C15E4"/>
    <w:rsid w:val="003C625F"/>
    <w:rsid w:val="003E54C0"/>
    <w:rsid w:val="00415658"/>
    <w:rsid w:val="004302FE"/>
    <w:rsid w:val="0043202F"/>
    <w:rsid w:val="004661A9"/>
    <w:rsid w:val="004A7715"/>
    <w:rsid w:val="004B01AE"/>
    <w:rsid w:val="004B72C7"/>
    <w:rsid w:val="004C1BBB"/>
    <w:rsid w:val="004F186E"/>
    <w:rsid w:val="004F3AC4"/>
    <w:rsid w:val="004F79B0"/>
    <w:rsid w:val="00500844"/>
    <w:rsid w:val="00530478"/>
    <w:rsid w:val="00530B11"/>
    <w:rsid w:val="005451AE"/>
    <w:rsid w:val="00593DED"/>
    <w:rsid w:val="005A47AF"/>
    <w:rsid w:val="005C4A1E"/>
    <w:rsid w:val="00641B16"/>
    <w:rsid w:val="00642FD6"/>
    <w:rsid w:val="0064330A"/>
    <w:rsid w:val="00656317"/>
    <w:rsid w:val="00664356"/>
    <w:rsid w:val="0067793D"/>
    <w:rsid w:val="00686316"/>
    <w:rsid w:val="00694D96"/>
    <w:rsid w:val="006C2067"/>
    <w:rsid w:val="006C593D"/>
    <w:rsid w:val="006D3DE3"/>
    <w:rsid w:val="006D7AF3"/>
    <w:rsid w:val="0073015D"/>
    <w:rsid w:val="0073398F"/>
    <w:rsid w:val="007D10D1"/>
    <w:rsid w:val="008905FA"/>
    <w:rsid w:val="00890FDE"/>
    <w:rsid w:val="008D7295"/>
    <w:rsid w:val="008E213C"/>
    <w:rsid w:val="008E2F9E"/>
    <w:rsid w:val="008E3887"/>
    <w:rsid w:val="00901FE8"/>
    <w:rsid w:val="0093083C"/>
    <w:rsid w:val="009420C7"/>
    <w:rsid w:val="00944A85"/>
    <w:rsid w:val="00986928"/>
    <w:rsid w:val="00997FB0"/>
    <w:rsid w:val="009C53EC"/>
    <w:rsid w:val="009C7F06"/>
    <w:rsid w:val="00A16857"/>
    <w:rsid w:val="00A501E4"/>
    <w:rsid w:val="00A86CEF"/>
    <w:rsid w:val="00AB47F1"/>
    <w:rsid w:val="00AD1E4C"/>
    <w:rsid w:val="00AD5260"/>
    <w:rsid w:val="00AF679C"/>
    <w:rsid w:val="00AF74E5"/>
    <w:rsid w:val="00B23983"/>
    <w:rsid w:val="00B30002"/>
    <w:rsid w:val="00B5745E"/>
    <w:rsid w:val="00B604EB"/>
    <w:rsid w:val="00B67B9F"/>
    <w:rsid w:val="00B824AB"/>
    <w:rsid w:val="00BA1C74"/>
    <w:rsid w:val="00BF0CF5"/>
    <w:rsid w:val="00C36390"/>
    <w:rsid w:val="00C732E5"/>
    <w:rsid w:val="00CB695A"/>
    <w:rsid w:val="00CC0BC7"/>
    <w:rsid w:val="00D04B30"/>
    <w:rsid w:val="00D21AA1"/>
    <w:rsid w:val="00D563D0"/>
    <w:rsid w:val="00D86A5B"/>
    <w:rsid w:val="00D9636E"/>
    <w:rsid w:val="00DC0918"/>
    <w:rsid w:val="00DC10CB"/>
    <w:rsid w:val="00DD17EF"/>
    <w:rsid w:val="00E92100"/>
    <w:rsid w:val="00EB75B6"/>
    <w:rsid w:val="00ED0F1A"/>
    <w:rsid w:val="00ED10F1"/>
    <w:rsid w:val="00EE1C0F"/>
    <w:rsid w:val="00EE42CE"/>
    <w:rsid w:val="00EE57BA"/>
    <w:rsid w:val="00EF2FDE"/>
    <w:rsid w:val="00EF45D9"/>
    <w:rsid w:val="00EF5A41"/>
    <w:rsid w:val="00F15079"/>
    <w:rsid w:val="00F44274"/>
    <w:rsid w:val="00F75AB0"/>
    <w:rsid w:val="00F90169"/>
    <w:rsid w:val="00F90BDE"/>
    <w:rsid w:val="00FB0104"/>
    <w:rsid w:val="00FC3610"/>
    <w:rsid w:val="00FE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58B7"/>
  <w15:chartTrackingRefBased/>
  <w15:docId w15:val="{4ABAFA5F-0F09-430B-BA9E-751949C5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104"/>
    <w:rPr>
      <w:color w:val="0563C1" w:themeColor="hyperlink"/>
      <w:u w:val="single"/>
    </w:rPr>
  </w:style>
  <w:style w:type="paragraph" w:styleId="EndnoteText">
    <w:name w:val="endnote text"/>
    <w:basedOn w:val="Normal"/>
    <w:link w:val="EndnoteTextChar"/>
    <w:uiPriority w:val="99"/>
    <w:semiHidden/>
    <w:unhideWhenUsed/>
    <w:rsid w:val="004B01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01AE"/>
    <w:rPr>
      <w:sz w:val="20"/>
      <w:szCs w:val="20"/>
    </w:rPr>
  </w:style>
  <w:style w:type="character" w:styleId="EndnoteReference">
    <w:name w:val="endnote reference"/>
    <w:basedOn w:val="DefaultParagraphFont"/>
    <w:uiPriority w:val="99"/>
    <w:semiHidden/>
    <w:unhideWhenUsed/>
    <w:rsid w:val="004B01AE"/>
    <w:rPr>
      <w:vertAlign w:val="superscript"/>
    </w:rPr>
  </w:style>
  <w:style w:type="paragraph" w:styleId="FootnoteText">
    <w:name w:val="footnote text"/>
    <w:basedOn w:val="Normal"/>
    <w:link w:val="FootnoteTextChar"/>
    <w:uiPriority w:val="99"/>
    <w:semiHidden/>
    <w:unhideWhenUsed/>
    <w:rsid w:val="004B0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1AE"/>
    <w:rPr>
      <w:sz w:val="20"/>
      <w:szCs w:val="20"/>
    </w:rPr>
  </w:style>
  <w:style w:type="character" w:styleId="FootnoteReference">
    <w:name w:val="footnote reference"/>
    <w:basedOn w:val="DefaultParagraphFont"/>
    <w:uiPriority w:val="99"/>
    <w:semiHidden/>
    <w:unhideWhenUsed/>
    <w:rsid w:val="004B01AE"/>
    <w:rPr>
      <w:vertAlign w:val="superscript"/>
    </w:rPr>
  </w:style>
  <w:style w:type="paragraph" w:styleId="Header">
    <w:name w:val="header"/>
    <w:basedOn w:val="Normal"/>
    <w:link w:val="HeaderChar"/>
    <w:uiPriority w:val="99"/>
    <w:unhideWhenUsed/>
    <w:rsid w:val="004B0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1AE"/>
  </w:style>
  <w:style w:type="paragraph" w:styleId="Footer">
    <w:name w:val="footer"/>
    <w:basedOn w:val="Normal"/>
    <w:link w:val="FooterChar"/>
    <w:uiPriority w:val="99"/>
    <w:unhideWhenUsed/>
    <w:rsid w:val="004B0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99617">
      <w:bodyDiv w:val="1"/>
      <w:marLeft w:val="0"/>
      <w:marRight w:val="0"/>
      <w:marTop w:val="0"/>
      <w:marBottom w:val="0"/>
      <w:divBdr>
        <w:top w:val="none" w:sz="0" w:space="0" w:color="auto"/>
        <w:left w:val="none" w:sz="0" w:space="0" w:color="auto"/>
        <w:bottom w:val="none" w:sz="0" w:space="0" w:color="auto"/>
        <w:right w:val="none" w:sz="0" w:space="0" w:color="auto"/>
      </w:divBdr>
    </w:div>
    <w:div w:id="1559509517">
      <w:bodyDiv w:val="1"/>
      <w:marLeft w:val="0"/>
      <w:marRight w:val="0"/>
      <w:marTop w:val="0"/>
      <w:marBottom w:val="0"/>
      <w:divBdr>
        <w:top w:val="none" w:sz="0" w:space="0" w:color="auto"/>
        <w:left w:val="none" w:sz="0" w:space="0" w:color="auto"/>
        <w:bottom w:val="none" w:sz="0" w:space="0" w:color="auto"/>
        <w:right w:val="none" w:sz="0" w:space="0" w:color="auto"/>
      </w:divBdr>
    </w:div>
    <w:div w:id="1841967075">
      <w:bodyDiv w:val="1"/>
      <w:marLeft w:val="0"/>
      <w:marRight w:val="0"/>
      <w:marTop w:val="0"/>
      <w:marBottom w:val="0"/>
      <w:divBdr>
        <w:top w:val="none" w:sz="0" w:space="0" w:color="auto"/>
        <w:left w:val="none" w:sz="0" w:space="0" w:color="auto"/>
        <w:bottom w:val="none" w:sz="0" w:space="0" w:color="auto"/>
        <w:right w:val="none" w:sz="0" w:space="0" w:color="auto"/>
      </w:divBdr>
    </w:div>
    <w:div w:id="1965574712">
      <w:bodyDiv w:val="1"/>
      <w:marLeft w:val="0"/>
      <w:marRight w:val="0"/>
      <w:marTop w:val="0"/>
      <w:marBottom w:val="0"/>
      <w:divBdr>
        <w:top w:val="none" w:sz="0" w:space="0" w:color="auto"/>
        <w:left w:val="none" w:sz="0" w:space="0" w:color="auto"/>
        <w:bottom w:val="none" w:sz="0" w:space="0" w:color="auto"/>
        <w:right w:val="none" w:sz="0" w:space="0" w:color="auto"/>
      </w:divBdr>
    </w:div>
    <w:div w:id="2014406278">
      <w:bodyDiv w:val="1"/>
      <w:marLeft w:val="0"/>
      <w:marRight w:val="0"/>
      <w:marTop w:val="0"/>
      <w:marBottom w:val="0"/>
      <w:divBdr>
        <w:top w:val="none" w:sz="0" w:space="0" w:color="auto"/>
        <w:left w:val="none" w:sz="0" w:space="0" w:color="auto"/>
        <w:bottom w:val="none" w:sz="0" w:space="0" w:color="auto"/>
        <w:right w:val="none" w:sz="0" w:space="0" w:color="auto"/>
      </w:divBdr>
    </w:div>
    <w:div w:id="20664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museum.org/art/collection/search/32373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2F6F-ADF9-462C-B656-EC30C8A85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10</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2021-05-01T13:32:00Z</dcterms:created>
  <dcterms:modified xsi:type="dcterms:W3CDTF">2021-05-01T22:24:00Z</dcterms:modified>
</cp:coreProperties>
</file>